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ascii="微软雅黑" w:hAnsi="微软雅黑" w:eastAsia="微软雅黑" w:cs="微软雅黑"/>
          <w:b/>
          <w:bCs/>
          <w:i w:val="0"/>
          <w:iCs w:val="0"/>
          <w:caps w:val="0"/>
          <w:color w:val="000000" w:themeColor="text1"/>
          <w:spacing w:val="0"/>
          <w:sz w:val="48"/>
          <w:szCs w:val="48"/>
          <w14:textFill>
            <w14:solidFill>
              <w14:schemeClr w14:val="tx1"/>
            </w14:solidFill>
          </w14:textFill>
        </w:rPr>
      </w:pPr>
      <w:bookmarkStart w:id="0" w:name="_GoBack"/>
      <w:r>
        <w:rPr>
          <w:rFonts w:ascii="微软雅黑" w:hAnsi="微软雅黑" w:eastAsia="微软雅黑" w:cs="微软雅黑"/>
          <w:b/>
          <w:bCs/>
          <w:i w:val="0"/>
          <w:iCs w:val="0"/>
          <w:caps w:val="0"/>
          <w:color w:val="000000" w:themeColor="text1"/>
          <w:spacing w:val="0"/>
          <w:sz w:val="48"/>
          <w:szCs w:val="48"/>
          <w14:textFill>
            <w14:solidFill>
              <w14:schemeClr w14:val="tx1"/>
            </w14:solidFill>
          </w14:textFill>
        </w:rPr>
        <w:t>泰安市财政局2021年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ascii="仿宋" w:hAnsi="仿宋" w:eastAsia="仿宋" w:cs="仿宋"/>
          <w:i w:val="0"/>
          <w:iCs w:val="0"/>
          <w:caps w:val="0"/>
          <w:color w:val="000000" w:themeColor="text1"/>
          <w:spacing w:val="0"/>
          <w:sz w:val="31"/>
          <w:szCs w:val="31"/>
          <w14:textFill>
            <w14:solidFill>
              <w14:schemeClr w14:val="tx1"/>
            </w14:solidFill>
          </w14:textFill>
        </w:rPr>
      </w:pPr>
      <w:r>
        <w:rPr>
          <w:rFonts w:ascii="微软雅黑" w:hAnsi="微软雅黑" w:eastAsia="微软雅黑" w:cs="微软雅黑"/>
          <w:b/>
          <w:bCs/>
          <w:i w:val="0"/>
          <w:iCs w:val="0"/>
          <w:caps w:val="0"/>
          <w:color w:val="000000" w:themeColor="text1"/>
          <w:spacing w:val="0"/>
          <w:sz w:val="48"/>
          <w:szCs w:val="48"/>
          <w14:textFill>
            <w14:solidFill>
              <w14:schemeClr w14:val="tx1"/>
            </w14:solidFill>
          </w14:textFill>
        </w:rPr>
        <w:t>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ascii="仿宋" w:hAnsi="仿宋" w:eastAsia="仿宋" w:cs="仿宋"/>
          <w:i w:val="0"/>
          <w:iCs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sz w:val="31"/>
          <w:szCs w:val="31"/>
        </w:rPr>
        <w:t>根据《中华人民共和国政府信息公开条例》，特向社会公布</w:t>
      </w:r>
      <w:r>
        <w:rPr>
          <w:rFonts w:hint="eastAsia" w:ascii="仿宋" w:hAnsi="仿宋" w:eastAsia="仿宋" w:cs="仿宋"/>
          <w:i w:val="0"/>
          <w:iCs w:val="0"/>
          <w:caps w:val="0"/>
          <w:color w:val="333333"/>
          <w:spacing w:val="0"/>
          <w:sz w:val="31"/>
          <w:szCs w:val="31"/>
        </w:rPr>
        <w:t>2021年度本机关政府信息公开工作年度报告。全文包括：年度报告应当包括总体情况；行政机关主动公开政府信息的情况；行政机关收到和处理政府信息公开申请的情况；因政府信息公开工作被申请行政复议、提起行政诉讼的情况；政府信息公开工作存在的主要问题及改进情况，政府信息公开工作年度报告还应当包括工作考核、社会评议和责任追究结果情况；其他需要报告的事项。报告中所列数据的统计期限自2021年1月1日起至2021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1"/>
          <w:szCs w:val="31"/>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shd w:val="clear" w:fill="FFFFFF"/>
        </w:rPr>
        <w:t>2021年，我局认真贯彻落实《条例》及中央和省委省政府、市委市政府关于推进政府信息公开工作要求，紧紧围绕市委市政府重大决策部署和人民群众关注关切，坚持以提升政务公开质量为主线，深化重点领域信息公开，创新创造公开方式，全面推进权力运行全流程、政务服务全过程公开，政府信息公开工作持续深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55" w:right="0" w:firstLine="315"/>
        <w:jc w:val="left"/>
        <w:rPr>
          <w:rFonts w:hint="eastAsia" w:ascii="微软雅黑" w:hAnsi="微软雅黑" w:eastAsia="微软雅黑" w:cs="微软雅黑"/>
          <w:i w:val="0"/>
          <w:iCs w:val="0"/>
          <w:caps w:val="0"/>
          <w:color w:val="333333"/>
          <w:spacing w:val="0"/>
          <w:sz w:val="21"/>
          <w:szCs w:val="21"/>
        </w:rPr>
      </w:pPr>
      <w:r>
        <w:rPr>
          <w:rStyle w:val="5"/>
          <w:rFonts w:ascii="华文仿宋" w:hAnsi="华文仿宋" w:eastAsia="华文仿宋" w:cs="华文仿宋"/>
          <w:i w:val="0"/>
          <w:iCs w:val="0"/>
          <w:caps w:val="0"/>
          <w:color w:val="404040"/>
          <w:spacing w:val="0"/>
          <w:sz w:val="31"/>
          <w:szCs w:val="31"/>
          <w:shd w:val="clear" w:fill="FFFFFF"/>
        </w:rPr>
        <w:t>1.主动公开情况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shd w:val="clear" w:fill="FFFFFF"/>
        </w:rPr>
        <w:t>2021年市财政局主动公开信息961条，其中：机构概况信息7条；政府预决算信息396条；财政收支信息12条，财政收支信息解读3条；政策法规类信息4条；决策公开类信息20条；执行公开类信息91条；管理公开类信息24条；建议提案办理结果公开9条；解读信息发布5条。此外，通过财政有关栏目发布公开通知公告类信息 62 条，工作动态类信息73条。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eastAsia" w:ascii="华文仿宋" w:hAnsi="华文仿宋" w:eastAsia="华文仿宋" w:cs="华文仿宋"/>
          <w:i w:val="0"/>
          <w:iCs w:val="0"/>
          <w:caps w:val="0"/>
          <w:color w:val="404040"/>
          <w:spacing w:val="0"/>
          <w:sz w:val="31"/>
          <w:szCs w:val="31"/>
          <w:shd w:val="clear" w:fill="FFFFFF"/>
        </w:rPr>
        <w:t>2.依申请公开办理情况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shd w:val="clear" w:fill="FFFFFF"/>
        </w:rPr>
        <w:t>2021年，市财政局坚决贯彻政府信息公开工作制度，依法依规开展政府信息依申请公开工作。据统计，市财政局全年共收到依申请信息12条，其中</w:t>
      </w:r>
      <w:r>
        <w:rPr>
          <w:rFonts w:hint="eastAsia" w:ascii="仿宋" w:hAnsi="仿宋" w:eastAsia="仿宋" w:cs="仿宋"/>
          <w:i w:val="0"/>
          <w:iCs w:val="0"/>
          <w:caps w:val="0"/>
          <w:color w:val="333333"/>
          <w:spacing w:val="0"/>
          <w:sz w:val="31"/>
          <w:szCs w:val="31"/>
        </w:rPr>
        <w:t>收到邮递依申请公开信息 2 条，信息公开平台依申请公开 10 条。办理时限均在规定时间内准确答复，</w:t>
      </w:r>
      <w:r>
        <w:rPr>
          <w:rFonts w:hint="eastAsia" w:ascii="仿宋" w:hAnsi="仿宋" w:eastAsia="仿宋" w:cs="仿宋"/>
          <w:i w:val="0"/>
          <w:iCs w:val="0"/>
          <w:caps w:val="0"/>
          <w:color w:val="333333"/>
          <w:spacing w:val="0"/>
          <w:sz w:val="31"/>
          <w:szCs w:val="31"/>
          <w:shd w:val="clear" w:fill="FFFFFF"/>
        </w:rPr>
        <w:t>办结率100%。</w:t>
      </w:r>
      <w:r>
        <w:rPr>
          <w:rFonts w:hint="eastAsia" w:ascii="仿宋" w:hAnsi="仿宋" w:eastAsia="仿宋" w:cs="仿宋"/>
          <w:i w:val="0"/>
          <w:iCs w:val="0"/>
          <w:caps w:val="0"/>
          <w:color w:val="333333"/>
          <w:spacing w:val="0"/>
          <w:sz w:val="31"/>
          <w:szCs w:val="31"/>
        </w:rPr>
        <w:t>收到个人行政复议1条，根据行政复议相关规定，按照申请人申请复议问题，我们依据法律法规和基本事实，形成书面材料予以说明，报司法局审阅，此行政复议已终结，维持原结果。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eastAsia" w:ascii="华文仿宋" w:hAnsi="华文仿宋" w:eastAsia="华文仿宋" w:cs="华文仿宋"/>
          <w:i w:val="0"/>
          <w:iCs w:val="0"/>
          <w:caps w:val="0"/>
          <w:color w:val="333333"/>
          <w:spacing w:val="0"/>
          <w:sz w:val="31"/>
          <w:szCs w:val="31"/>
        </w:rPr>
        <w:t>3.政府信息管理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shd w:val="clear" w:fill="FFFFFF"/>
        </w:rPr>
        <w:t>一是依据公文公开属性源头认定规则，按照“谁起草、谁认定，谁审查、谁负责”的原则，对所有公文进行属性认定。二是依据政策解读工作规则，对涉及面广、社会关注度高、专业性强的政策性文件进行深入解读。三是严格信息公开审查，发布的信息由相关科室初审、办公室复审，重要财政信息局领导审定，签署信息公开保密审查单，由对外公共服务科统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eastAsia" w:ascii="华文仿宋" w:hAnsi="华文仿宋" w:eastAsia="华文仿宋" w:cs="华文仿宋"/>
          <w:i w:val="0"/>
          <w:iCs w:val="0"/>
          <w:caps w:val="0"/>
          <w:color w:val="404040"/>
          <w:spacing w:val="0"/>
          <w:sz w:val="31"/>
          <w:szCs w:val="31"/>
          <w:shd w:val="clear" w:fill="FFFFFF"/>
        </w:rPr>
        <w:t>4.政府信息公开平台建设情况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政府信息公开主要综合运用单位门户网站、微信公众号、电子宣传屏等多种载体，扩宽政务公开渠道。同时，</w:t>
      </w:r>
      <w:r>
        <w:rPr>
          <w:rFonts w:hint="eastAsia" w:ascii="仿宋" w:hAnsi="仿宋" w:eastAsia="仿宋" w:cs="仿宋"/>
          <w:i w:val="0"/>
          <w:iCs w:val="0"/>
          <w:caps w:val="0"/>
          <w:color w:val="333333"/>
          <w:spacing w:val="0"/>
          <w:sz w:val="31"/>
          <w:szCs w:val="31"/>
          <w:shd w:val="clear" w:fill="FFFFFF"/>
        </w:rPr>
        <w:t>在市财政局二楼“阳光财政服务平台”设置政务公开查阅点，由专人负责进行政务信息查阅的指导工作，查阅点内放置《财政民生政策公开手册》、《泰安市市直行政事业收费和政府性基金目录手册》、办事指南、法律法规等政府信息，使群众方便查阅、了解政府相关信息。</w:t>
      </w:r>
      <w:r>
        <w:rPr>
          <w:rFonts w:hint="eastAsia" w:ascii="仿宋" w:hAnsi="仿宋" w:eastAsia="仿宋" w:cs="仿宋"/>
          <w:i w:val="0"/>
          <w:iCs w:val="0"/>
          <w:caps w:val="0"/>
          <w:color w:val="333333"/>
          <w:spacing w:val="0"/>
          <w:sz w:val="31"/>
          <w:szCs w:val="31"/>
        </w:rPr>
        <w:t>确保公开效果的最大化，最大限度方便群众和企业办事。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eastAsia" w:ascii="华文仿宋" w:hAnsi="华文仿宋" w:eastAsia="华文仿宋" w:cs="华文仿宋"/>
          <w:i w:val="0"/>
          <w:iCs w:val="0"/>
          <w:caps w:val="0"/>
          <w:color w:val="404040"/>
          <w:spacing w:val="0"/>
          <w:sz w:val="31"/>
          <w:szCs w:val="31"/>
          <w:shd w:val="clear" w:fill="FFFFFF"/>
        </w:rPr>
        <w:t>5.监督保障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一是根据市财政局主要领导和成员变动，2021年11月8日印发《泰安市财政局关于调整政务公开领导小组的通知》。及时公开调整后的领导及成员，压实工作监管责任，同时明确专职工作人员及政府信息公开工作的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rPr>
        <w:t>二是制定《关于做好新形势下财政工作政务公开的通知》，优化内部各科室单位之间的协调配合机制，各业务科室定期向办公室与对外公共服务科报送最新财政政策、预决算数据、办事程序更新等事项，保证财政政策和工作动态及时、准确地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rPr>
        <w:t>三是</w:t>
      </w:r>
      <w:r>
        <w:rPr>
          <w:rFonts w:hint="eastAsia" w:ascii="仿宋" w:hAnsi="仿宋" w:eastAsia="仿宋" w:cs="仿宋"/>
          <w:i w:val="0"/>
          <w:iCs w:val="0"/>
          <w:caps w:val="0"/>
          <w:color w:val="333333"/>
          <w:spacing w:val="0"/>
          <w:sz w:val="31"/>
          <w:szCs w:val="31"/>
          <w:shd w:val="clear" w:fill="FFFFFF"/>
        </w:rPr>
        <w:t>建立《市财政局</w:t>
      </w:r>
      <w:r>
        <w:rPr>
          <w:rFonts w:hint="eastAsia" w:ascii="仿宋" w:hAnsi="仿宋" w:eastAsia="仿宋" w:cs="仿宋"/>
          <w:i w:val="0"/>
          <w:iCs w:val="0"/>
          <w:caps w:val="0"/>
          <w:color w:val="333333"/>
          <w:spacing w:val="0"/>
          <w:sz w:val="31"/>
          <w:szCs w:val="31"/>
        </w:rPr>
        <w:t>政务公开联络员工作制度》，明确联络员的工作职责，</w:t>
      </w:r>
      <w:r>
        <w:rPr>
          <w:rFonts w:hint="eastAsia" w:ascii="仿宋" w:hAnsi="仿宋" w:eastAsia="仿宋" w:cs="仿宋"/>
          <w:i w:val="0"/>
          <w:iCs w:val="0"/>
          <w:caps w:val="0"/>
          <w:color w:val="333333"/>
          <w:spacing w:val="0"/>
          <w:sz w:val="31"/>
          <w:szCs w:val="31"/>
          <w:shd w:val="clear" w:fill="FFFFFF"/>
        </w:rPr>
        <w:t>强化联络员政务公开的工作意识，</w:t>
      </w:r>
      <w:r>
        <w:rPr>
          <w:rFonts w:hint="eastAsia" w:ascii="仿宋" w:hAnsi="仿宋" w:eastAsia="仿宋" w:cs="仿宋"/>
          <w:i w:val="0"/>
          <w:iCs w:val="0"/>
          <w:caps w:val="0"/>
          <w:color w:val="333333"/>
          <w:spacing w:val="0"/>
          <w:sz w:val="31"/>
          <w:szCs w:val="31"/>
        </w:rPr>
        <w:t>提高科室之间工作协调联动水平。通过制度的建设，搭建主管科室与业务科室工作桥梁，达到各科室的政务公开工作有人管，有人问的目的，保障各科室之间工作协调联动，切实提高工作效率。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1"/>
          <w:szCs w:val="31"/>
          <w:shd w:val="clear" w:fill="FFFFFF"/>
        </w:rPr>
        <w:t>四是市财政局定期举办政务公开培训班。通过培训，促进全局工作人员不断加深政务公开认知，夯实工作能力和水平，为今后相关工作更好地开展指明方向、提供遵循。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rPr>
        <w:t>二、主动公开政府信息情况                                                                                                                                      </w:t>
      </w:r>
    </w:p>
    <w:tbl>
      <w:tblPr>
        <w:tblStyle w:val="3"/>
        <w:tblW w:w="882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05"/>
        <w:gridCol w:w="2205"/>
        <w:gridCol w:w="220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blCellSpacing w:w="0" w:type="dxa"/>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aps w:val="0"/>
                <w:color w:val="333333"/>
                <w:spacing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ascii="仿宋_GB2312" w:hAnsi="微软雅黑" w:eastAsia="仿宋_GB2312" w:cs="仿宋_GB2312"/>
                <w:caps w:val="0"/>
                <w:color w:val="333333"/>
                <w:spacing w:val="0"/>
                <w:sz w:val="21"/>
                <w:szCs w:val="21"/>
              </w:rPr>
              <w:t>信息内容</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本年制发件数</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本年废止件数</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规章</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　  0</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color w:val="333333"/>
                <w:sz w:val="21"/>
                <w:szCs w:val="21"/>
              </w:rPr>
            </w:pPr>
            <w:r>
              <w:rPr>
                <w:rFonts w:hint="default" w:ascii="仿宋_GB2312" w:hAnsi="微软雅黑" w:eastAsia="仿宋_GB2312" w:cs="仿宋_GB2312"/>
                <w:caps w:val="0"/>
                <w:color w:val="333333"/>
                <w:spacing w:val="0"/>
                <w:sz w:val="21"/>
                <w:szCs w:val="21"/>
              </w:rPr>
              <w:t>0</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行政规范性文件</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　　0</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eastAsia" w:ascii="宋体" w:hAnsi="宋体" w:eastAsia="宋体" w:cs="宋体"/>
                <w:caps w:val="0"/>
                <w:color w:val="333333"/>
                <w:spacing w:val="0"/>
                <w:sz w:val="21"/>
                <w:szCs w:val="21"/>
              </w:rPr>
              <w:t> </w:t>
            </w:r>
            <w:r>
              <w:rPr>
                <w:rFonts w:hint="default" w:ascii="仿宋_GB2312" w:hAnsi="微软雅黑" w:eastAsia="仿宋_GB2312" w:cs="仿宋_GB2312"/>
                <w:caps w:val="0"/>
                <w:color w:val="333333"/>
                <w:spacing w:val="0"/>
                <w:sz w:val="21"/>
                <w:szCs w:val="21"/>
              </w:rPr>
              <w:t>　0</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8820" w:type="dxa"/>
            <w:gridSpan w:val="4"/>
            <w:tcBorders>
              <w:top w:val="nil"/>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aps w:val="0"/>
                <w:color w:val="333333"/>
                <w:spacing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信息内容</w:t>
            </w:r>
          </w:p>
        </w:tc>
        <w:tc>
          <w:tcPr>
            <w:tcW w:w="6615" w:type="dxa"/>
            <w:gridSpan w:val="3"/>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行政许可</w:t>
            </w:r>
          </w:p>
        </w:tc>
        <w:tc>
          <w:tcPr>
            <w:tcW w:w="6615"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8820" w:type="dxa"/>
            <w:gridSpan w:val="4"/>
            <w:tcBorders>
              <w:top w:val="nil"/>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aps w:val="0"/>
                <w:color w:val="333333"/>
                <w:spacing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信息内容</w:t>
            </w:r>
          </w:p>
        </w:tc>
        <w:tc>
          <w:tcPr>
            <w:tcW w:w="6615" w:type="dxa"/>
            <w:gridSpan w:val="3"/>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行政处罚</w:t>
            </w:r>
          </w:p>
        </w:tc>
        <w:tc>
          <w:tcPr>
            <w:tcW w:w="6615"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行政强制</w:t>
            </w:r>
          </w:p>
        </w:tc>
        <w:tc>
          <w:tcPr>
            <w:tcW w:w="6615"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8820" w:type="dxa"/>
            <w:gridSpan w:val="4"/>
            <w:tcBorders>
              <w:top w:val="nil"/>
              <w:left w:val="single" w:color="auto" w:sz="6" w:space="0"/>
              <w:bottom w:val="single" w:color="auto" w:sz="6" w:space="0"/>
              <w:right w:val="single" w:color="000000" w:sz="6" w:space="0"/>
            </w:tcBorders>
            <w:shd w:val="clear" w:color="auto" w:fill="C6D9F1"/>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aps w:val="0"/>
                <w:color w:val="333333"/>
                <w:spacing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信息内容</w:t>
            </w:r>
          </w:p>
        </w:tc>
        <w:tc>
          <w:tcPr>
            <w:tcW w:w="6615" w:type="dxa"/>
            <w:gridSpan w:val="3"/>
            <w:tcBorders>
              <w:top w:val="single" w:color="auto" w:sz="6" w:space="0"/>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仿宋_GB2312" w:hAnsi="微软雅黑" w:eastAsia="仿宋_GB2312" w:cs="仿宋_GB2312"/>
                <w:caps w:val="0"/>
                <w:color w:val="333333"/>
                <w:spacing w:val="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blCellSpacing w:w="0" w:type="dxa"/>
        </w:trPr>
        <w:tc>
          <w:tcPr>
            <w:tcW w:w="22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行政事业性收费</w:t>
            </w:r>
          </w:p>
        </w:tc>
        <w:tc>
          <w:tcPr>
            <w:tcW w:w="6615" w:type="dxa"/>
            <w:gridSpan w:val="3"/>
            <w:tcBorders>
              <w:top w:val="nil"/>
              <w:left w:val="nil"/>
              <w:bottom w:val="single" w:color="auto"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default" w:ascii="仿宋_GB2312" w:hAnsi="微软雅黑" w:eastAsia="仿宋_GB2312" w:cs="仿宋_GB2312"/>
                <w:caps w:val="0"/>
                <w:color w:val="333333"/>
                <w:spacing w:val="0"/>
                <w:sz w:val="21"/>
                <w:szCs w:val="21"/>
              </w:rPr>
              <w:t>　170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rPr>
        <w:t> </w:t>
      </w:r>
    </w:p>
    <w:tbl>
      <w:tblPr>
        <w:tblStyle w:val="3"/>
        <w:tblW w:w="991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0"/>
        <w:gridCol w:w="1650"/>
        <w:gridCol w:w="2862"/>
        <w:gridCol w:w="805"/>
        <w:gridCol w:w="564"/>
        <w:gridCol w:w="564"/>
        <w:gridCol w:w="720"/>
        <w:gridCol w:w="692"/>
        <w:gridCol w:w="564"/>
        <w:gridCol w:w="8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blCellSpacing w:w="0" w:type="dxa"/>
          <w:jc w:val="center"/>
        </w:trPr>
        <w:tc>
          <w:tcPr>
            <w:tcW w:w="5100" w:type="dxa"/>
            <w:gridSpan w:val="3"/>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ascii="楷体_GB2312" w:eastAsia="楷体_GB2312" w:cs="楷体_GB2312"/>
                <w:color w:val="333333"/>
                <w:sz w:val="21"/>
                <w:szCs w:val="21"/>
              </w:rPr>
              <w:t>（本列数据的勾稽关系为：第一项加第二项之和，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default" w:ascii="楷体_GB2312" w:eastAsia="楷体_GB2312" w:cs="楷体_GB2312"/>
                <w:color w:val="333333"/>
                <w:sz w:val="21"/>
                <w:szCs w:val="21"/>
              </w:rPr>
              <w:t>等于第三项加第四项之和）</w:t>
            </w:r>
          </w:p>
        </w:tc>
        <w:tc>
          <w:tcPr>
            <w:tcW w:w="4815" w:type="dxa"/>
            <w:gridSpan w:val="7"/>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r>
              <w:rPr>
                <w:rFonts w:hint="eastAsia" w:ascii="黑体" w:hAnsi="宋体" w:eastAsia="黑体" w:cs="黑体"/>
                <w:color w:val="333333"/>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blCellSpacing w:w="0" w:type="dxa"/>
          <w:jc w:val="center"/>
        </w:trPr>
        <w:tc>
          <w:tcPr>
            <w:tcW w:w="510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82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21"/>
                <w:szCs w:val="21"/>
              </w:rPr>
              <w:t>自然人</w:t>
            </w:r>
          </w:p>
        </w:tc>
        <w:tc>
          <w:tcPr>
            <w:tcW w:w="313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r>
              <w:rPr>
                <w:rFonts w:hint="eastAsia" w:ascii="黑体" w:hAnsi="宋体" w:eastAsia="黑体" w:cs="黑体"/>
                <w:color w:val="333333"/>
                <w:sz w:val="21"/>
                <w:szCs w:val="21"/>
              </w:rPr>
              <w:t>法人或其他组织</w:t>
            </w:r>
          </w:p>
        </w:tc>
        <w:tc>
          <w:tcPr>
            <w:tcW w:w="85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5" w:hRule="atLeast"/>
          <w:tblCellSpacing w:w="0" w:type="dxa"/>
          <w:jc w:val="center"/>
        </w:trPr>
        <w:tc>
          <w:tcPr>
            <w:tcW w:w="510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82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r>
              <w:rPr>
                <w:rFonts w:hint="eastAsia" w:ascii="黑体" w:hAnsi="宋体" w:eastAsia="黑体" w:cs="黑体"/>
                <w:color w:val="333333"/>
                <w:sz w:val="21"/>
                <w:szCs w:val="21"/>
              </w:rPr>
              <w:t>商业企业</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r>
              <w:rPr>
                <w:rFonts w:hint="eastAsia" w:ascii="黑体" w:hAnsi="宋体" w:eastAsia="黑体" w:cs="黑体"/>
                <w:color w:val="333333"/>
                <w:sz w:val="21"/>
                <w:szCs w:val="21"/>
              </w:rPr>
              <w:t>科研机构</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r>
              <w:rPr>
                <w:rFonts w:hint="eastAsia" w:ascii="黑体" w:hAnsi="宋体" w:eastAsia="黑体" w:cs="黑体"/>
                <w:color w:val="333333"/>
                <w:sz w:val="21"/>
                <w:szCs w:val="21"/>
              </w:rPr>
              <w:t>社会公益组织</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r>
              <w:rPr>
                <w:rFonts w:hint="eastAsia" w:ascii="黑体" w:hAnsi="宋体" w:eastAsia="黑体" w:cs="黑体"/>
                <w:color w:val="333333"/>
                <w:sz w:val="21"/>
                <w:szCs w:val="21"/>
              </w:rPr>
              <w:t>法律服务机构</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宋体" w:eastAsia="黑体" w:cs="黑体"/>
                <w:color w:val="333333"/>
                <w:sz w:val="21"/>
                <w:szCs w:val="21"/>
              </w:rPr>
              <w:t>其他</w:t>
            </w:r>
          </w:p>
        </w:tc>
        <w:tc>
          <w:tcPr>
            <w:tcW w:w="85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 w:hRule="atLeast"/>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eastAsia" w:ascii="黑体" w:hAnsi="宋体" w:eastAsia="黑体" w:cs="黑体"/>
                <w:color w:val="333333"/>
                <w:sz w:val="21"/>
                <w:szCs w:val="21"/>
              </w:rPr>
              <w:t>一、本年新收政府信息公开申请数量</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11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 w:hRule="atLeast"/>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eastAsia" w:ascii="黑体" w:hAnsi="宋体" w:eastAsia="黑体" w:cs="黑体"/>
                <w:color w:val="333333"/>
                <w:sz w:val="21"/>
                <w:szCs w:val="21"/>
              </w:rPr>
              <w:t>二、上年结转政府信息公开申请数量</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420"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rPr>
                <w:color w:val="333333"/>
                <w:sz w:val="21"/>
                <w:szCs w:val="21"/>
              </w:rPr>
            </w:pPr>
            <w:r>
              <w:rPr>
                <w:rFonts w:hint="eastAsia" w:ascii="黑体" w:hAnsi="宋体" w:eastAsia="黑体" w:cs="黑体"/>
                <w:color w:val="333333"/>
                <w:sz w:val="21"/>
                <w:szCs w:val="21"/>
              </w:rPr>
              <w:t>三、本年度办理结果</w:t>
            </w: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eastAsia" w:ascii="黑体" w:hAnsi="宋体" w:eastAsia="黑体" w:cs="黑体"/>
                <w:color w:val="333333"/>
                <w:sz w:val="21"/>
                <w:szCs w:val="21"/>
              </w:rPr>
              <w:t>（一）予以公开</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11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1"/>
                <w:szCs w:val="21"/>
              </w:rPr>
            </w:pPr>
            <w:r>
              <w:rPr>
                <w:rFonts w:hint="eastAsia" w:ascii="黑体" w:hAnsi="宋体" w:eastAsia="黑体" w:cs="黑体"/>
                <w:color w:val="333333"/>
                <w:sz w:val="21"/>
                <w:szCs w:val="21"/>
              </w:rPr>
              <w:t>（二）部分公开（区分处理的，只计这一情形，不计其他情形）</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eastAsia" w:ascii="黑体" w:hAnsi="宋体" w:eastAsia="黑体" w:cs="黑体"/>
                <w:color w:val="333333"/>
                <w:sz w:val="21"/>
                <w:szCs w:val="21"/>
              </w:rPr>
              <w:t>（三）不予公开</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1.属于国家秘密</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2.其他法律行政法规禁止公开</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3.危及“三安全一稳定”</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4.保护第三方合法权益</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5.属于三类内部事务信息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6.属于四类过程性信息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7.属于行政执法案卷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8.属于行政查询事项</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eastAsia" w:ascii="黑体" w:hAnsi="宋体" w:eastAsia="黑体" w:cs="黑体"/>
                <w:color w:val="333333"/>
                <w:sz w:val="21"/>
                <w:szCs w:val="21"/>
              </w:rPr>
              <w:t>（四）无法提供</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1.本机关不掌握相关政府信息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2.没有现成信息需要另行制作</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3.补正后申请内容仍不明确</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eastAsia" w:ascii="黑体" w:hAnsi="宋体" w:eastAsia="黑体" w:cs="黑体"/>
                <w:color w:val="333333"/>
                <w:sz w:val="21"/>
                <w:szCs w:val="21"/>
              </w:rPr>
              <w:t>（五）不予处理</w:t>
            </w: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1.信访举报投诉类申请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2.重复申请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3.要求提供公开出版物</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0" w:hRule="atLeast"/>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rPr>
                <w:color w:val="333333"/>
                <w:sz w:val="21"/>
                <w:szCs w:val="21"/>
              </w:rPr>
            </w:pPr>
            <w:r>
              <w:rPr>
                <w:rFonts w:hint="default" w:ascii="仿宋_GB2312" w:eastAsia="仿宋_GB2312" w:cs="仿宋_GB2312"/>
                <w:color w:val="333333"/>
                <w:sz w:val="21"/>
                <w:szCs w:val="21"/>
              </w:rPr>
              <w:t>4.无正当理由大量反复申请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sz w:val="21"/>
                <w:szCs w:val="21"/>
              </w:rPr>
            </w:pPr>
            <w:r>
              <w:rPr>
                <w:rFonts w:hint="default" w:ascii="仿宋_GB2312" w:eastAsia="仿宋_GB2312" w:cs="仿宋_GB2312"/>
                <w:color w:val="333333"/>
                <w:sz w:val="21"/>
                <w:szCs w:val="21"/>
              </w:rPr>
              <w:t>5.要求行政机关确认或重新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10"/>
              <w:rPr>
                <w:color w:val="333333"/>
                <w:sz w:val="21"/>
                <w:szCs w:val="21"/>
              </w:rPr>
            </w:pPr>
            <w:r>
              <w:rPr>
                <w:rFonts w:hint="default" w:ascii="仿宋_GB2312" w:eastAsia="仿宋_GB2312" w:cs="仿宋_GB2312"/>
                <w:color w:val="333333"/>
                <w:sz w:val="21"/>
                <w:szCs w:val="21"/>
              </w:rPr>
              <w:t>出具已获取信息</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sz w:val="21"/>
                <w:szCs w:val="21"/>
              </w:rPr>
            </w:pPr>
            <w:r>
              <w:rPr>
                <w:rFonts w:hint="eastAsia" w:ascii="黑体" w:hAnsi="宋体" w:eastAsia="黑体" w:cs="黑体"/>
                <w:color w:val="333333"/>
                <w:sz w:val="21"/>
                <w:szCs w:val="21"/>
              </w:rPr>
              <w:t>（六）其他处理</w:t>
            </w: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sz w:val="21"/>
                <w:szCs w:val="21"/>
              </w:rPr>
            </w:pPr>
            <w:r>
              <w:rPr>
                <w:rFonts w:hint="default" w:ascii="仿宋_GB2312" w:eastAsia="仿宋_GB2312" w:cs="仿宋_GB2312"/>
                <w:color w:val="333333"/>
                <w:sz w:val="21"/>
                <w:szCs w:val="21"/>
              </w:rPr>
              <w:t>1.申请人无正当理由逾期不补正、行政机关不再处理其政府信息公开申请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sz w:val="21"/>
                <w:szCs w:val="21"/>
              </w:rPr>
            </w:pPr>
            <w:r>
              <w:rPr>
                <w:rFonts w:hint="default" w:ascii="仿宋_GB2312" w:eastAsia="仿宋_GB2312" w:cs="仿宋_GB2312"/>
                <w:color w:val="333333"/>
                <w:sz w:val="21"/>
                <w:szCs w:val="21"/>
              </w:rPr>
              <w:t>2.申请人逾期未按收费通知要求缴纳费用、行政机关不再处理其政府信息公开申请</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16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29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sz w:val="21"/>
                <w:szCs w:val="21"/>
              </w:rPr>
            </w:pPr>
            <w:r>
              <w:rPr>
                <w:rFonts w:hint="default" w:ascii="仿宋_GB2312" w:eastAsia="仿宋_GB2312" w:cs="仿宋_GB2312"/>
                <w:color w:val="333333"/>
                <w:sz w:val="21"/>
                <w:szCs w:val="21"/>
              </w:rPr>
              <w:t>3.其他</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420"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4680"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sz w:val="21"/>
                <w:szCs w:val="21"/>
              </w:rPr>
            </w:pPr>
            <w:r>
              <w:rPr>
                <w:rFonts w:hint="eastAsia" w:ascii="黑体" w:hAnsi="宋体" w:eastAsia="黑体" w:cs="黑体"/>
                <w:color w:val="333333"/>
                <w:sz w:val="21"/>
                <w:szCs w:val="21"/>
              </w:rPr>
              <w:t>（七）总计</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11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1</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5100"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color w:val="333333"/>
                <w:sz w:val="21"/>
                <w:szCs w:val="21"/>
              </w:rPr>
            </w:pPr>
            <w:r>
              <w:rPr>
                <w:rFonts w:hint="eastAsia" w:ascii="黑体" w:hAnsi="宋体" w:eastAsia="黑体" w:cs="黑体"/>
                <w:color w:val="333333"/>
                <w:sz w:val="21"/>
                <w:szCs w:val="21"/>
              </w:rPr>
              <w:t>四、结转下年度继续办理</w:t>
            </w:r>
          </w:p>
        </w:tc>
        <w:tc>
          <w:tcPr>
            <w:tcW w:w="82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95"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3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57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c>
          <w:tcPr>
            <w:tcW w:w="85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仿宋_GB2312" w:eastAsia="仿宋_GB2312" w:cs="仿宋_GB2312"/>
                <w:color w:val="333333"/>
                <w:sz w:val="21"/>
                <w:szCs w:val="21"/>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4"/>
          <w:szCs w:val="24"/>
        </w:rPr>
        <w:t> </w:t>
      </w:r>
    </w:p>
    <w:tbl>
      <w:tblPr>
        <w:tblStyle w:val="3"/>
        <w:tblW w:w="907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tblCellSpacing w:w="0" w:type="dxa"/>
          <w:jc w:val="center"/>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行政复议</w:t>
            </w:r>
          </w:p>
        </w:tc>
        <w:tc>
          <w:tcPr>
            <w:tcW w:w="6000"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tblCellSpacing w:w="0" w:type="dxa"/>
          <w:jc w:val="center"/>
        </w:trPr>
        <w:tc>
          <w:tcPr>
            <w:tcW w:w="60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维持</w:t>
            </w:r>
          </w:p>
        </w:tc>
        <w:tc>
          <w:tcPr>
            <w:tcW w:w="60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结果纠正</w:t>
            </w:r>
          </w:p>
        </w:tc>
        <w:tc>
          <w:tcPr>
            <w:tcW w:w="6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其他结果</w:t>
            </w:r>
          </w:p>
        </w:tc>
        <w:tc>
          <w:tcPr>
            <w:tcW w:w="6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审结</w:t>
            </w:r>
          </w:p>
        </w:tc>
        <w:tc>
          <w:tcPr>
            <w:tcW w:w="66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r>
              <w:rPr>
                <w:rFonts w:hint="eastAsia" w:ascii="黑体" w:hAnsi="宋体" w:eastAsia="黑体" w:cs="黑体"/>
                <w:color w:val="333333"/>
                <w:sz w:val="19"/>
                <w:szCs w:val="19"/>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333333"/>
                <w:sz w:val="21"/>
                <w:szCs w:val="21"/>
              </w:rPr>
            </w:pPr>
            <w:r>
              <w:rPr>
                <w:rFonts w:hint="eastAsia" w:ascii="黑体" w:hAnsi="宋体" w:eastAsia="黑体" w:cs="黑体"/>
                <w:color w:val="333333"/>
                <w:sz w:val="19"/>
                <w:szCs w:val="19"/>
              </w:rPr>
              <w:t>计</w:t>
            </w:r>
          </w:p>
        </w:tc>
        <w:tc>
          <w:tcPr>
            <w:tcW w:w="2970"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未经复议直接起诉</w:t>
            </w:r>
          </w:p>
        </w:tc>
        <w:tc>
          <w:tcPr>
            <w:tcW w:w="3030" w:type="dxa"/>
            <w:gridSpan w:val="5"/>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0" w:hRule="atLeast"/>
          <w:tblCellSpacing w:w="0" w:type="dxa"/>
          <w:jc w:val="center"/>
        </w:trPr>
        <w:tc>
          <w:tcPr>
            <w:tcW w:w="60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66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rPr>
                <w:rFonts w:hint="eastAsia" w:ascii="宋体"/>
                <w:sz w:val="24"/>
                <w:szCs w:val="24"/>
              </w:rPr>
            </w:pPr>
          </w:p>
        </w:tc>
        <w:tc>
          <w:tcPr>
            <w:tcW w:w="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结果维持</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结果纠正</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结果</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审结</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总计</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结果维持</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纠正</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结果</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尚未审结</w:t>
            </w:r>
          </w:p>
        </w:tc>
        <w:tc>
          <w:tcPr>
            <w:tcW w:w="600"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333333"/>
                <w:sz w:val="21"/>
                <w:szCs w:val="21"/>
              </w:rPr>
            </w:pPr>
            <w:r>
              <w:rPr>
                <w:rFonts w:hint="eastAsia" w:ascii="黑体" w:hAnsi="宋体" w:eastAsia="黑体" w:cs="黑体"/>
                <w:color w:val="333333"/>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6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1</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1</w:t>
            </w:r>
          </w:p>
        </w:tc>
        <w:tc>
          <w:tcPr>
            <w:tcW w:w="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jc w:val="center"/>
              <w:rPr>
                <w:color w:val="333333"/>
                <w:sz w:val="21"/>
                <w:szCs w:val="21"/>
              </w:rPr>
            </w:pPr>
            <w:r>
              <w:rPr>
                <w:rFonts w:hint="default" w:ascii="Times New Roman" w:hAnsi="Times New Roman" w:eastAsia="宋体" w:cs="Times New Roman"/>
                <w:color w:val="333333"/>
                <w:sz w:val="21"/>
                <w:szCs w:val="21"/>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shd w:val="clear" w:fill="FFFFFF"/>
        </w:rPr>
        <w:t>1.政府信息公开工作培训力度有待加强。财政业务具有较强的专业性，针对财政业务和信息公开融合的专项培训次数较少，如财政预决算公开的格式、月报的解读等财政重点领域公开方面。针对目前新形势下的新工作、新任务，加强培训做好信息公开、打造阳光财政具有重要意义。下一步，将加大培训力度，拓展培训方式，扩大培训范围，使政府信息公开有关规定成为每名财政工作人员所掌握的必备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shd w:val="clear" w:fill="FFFFFF"/>
        </w:rPr>
        <w:t>2.政府信息公开政策解读栏目的信息发布量少，形式还不够丰富，政策解读的效果有待加强。下一步，严格按照“应公开、尽公开”原则，加大重点领域信息公开和民生领域政策解读力度，丰富公开形式和渠道，加强政民互动交流，不断提升政府信息公开工作水平，更好地为社会公众提供优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jc w:val="left"/>
        <w:rPr>
          <w:rFonts w:hint="eastAsia" w:ascii="微软雅黑" w:hAnsi="微软雅黑" w:eastAsia="微软雅黑" w:cs="微软雅黑"/>
          <w:i w:val="0"/>
          <w:iCs w:val="0"/>
          <w:caps w:val="0"/>
          <w:color w:val="333333"/>
          <w:spacing w:val="0"/>
          <w:sz w:val="21"/>
          <w:szCs w:val="21"/>
        </w:rPr>
      </w:pPr>
      <w:r>
        <w:rPr>
          <w:rStyle w:val="5"/>
          <w:rFonts w:hint="eastAsia" w:ascii="华文仿宋" w:hAnsi="华文仿宋" w:eastAsia="华文仿宋" w:cs="华文仿宋"/>
          <w:i w:val="0"/>
          <w:iCs w:val="0"/>
          <w:caps w:val="0"/>
          <w:color w:val="333333"/>
          <w:spacing w:val="0"/>
          <w:sz w:val="31"/>
          <w:szCs w:val="31"/>
        </w:rPr>
        <w:t>1、本行政机关人大代表建议和政协提案办理结果公开情况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1"/>
          <w:szCs w:val="31"/>
        </w:rPr>
        <w:t>2021年，市财政局共承办政协提案40件（其中：主办1件，会办39件）。内容涉及农村饮水安全、文物保护、公共卫生服务体系建设、社区居家养老服务等方面。目前相关政协提案已全部办理完毕，主办件已按照市政府对政协提案办理要求进行面复，按期答复率、面复率和满意率均达到了100%。共承办人大代表建议14件（其中：主办2件，会办12件）。内容涉及支持教育发展、公共卫生服务、加快农村集体经济发展、老旧小区改造、支持企业发展等方面。目前，相关建议已全部办理完毕，主办件已按照市政府对人大代表建议办理要求进行面复，按期答复率、面复率和满意率均达到了100%。</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45" w:leftChars="0" w:right="0" w:rightChars="0"/>
        <w:jc w:val="left"/>
        <w:rPr>
          <w:rStyle w:val="5"/>
          <w:rFonts w:hint="default" w:ascii="华文仿宋" w:hAnsi="华文仿宋" w:eastAsia="华文仿宋" w:cs="华文仿宋"/>
          <w:i w:val="0"/>
          <w:iCs w:val="0"/>
          <w:caps w:val="0"/>
          <w:color w:val="333333"/>
          <w:spacing w:val="0"/>
          <w:sz w:val="31"/>
          <w:szCs w:val="31"/>
          <w:lang w:val="en-US" w:eastAsia="zh-CN"/>
        </w:rPr>
      </w:pPr>
      <w:r>
        <w:rPr>
          <w:rStyle w:val="5"/>
          <w:rFonts w:hint="eastAsia" w:ascii="华文仿宋" w:hAnsi="华文仿宋" w:eastAsia="华文仿宋" w:cs="华文仿宋"/>
          <w:i w:val="0"/>
          <w:iCs w:val="0"/>
          <w:caps w:val="0"/>
          <w:color w:val="333333"/>
          <w:spacing w:val="0"/>
          <w:sz w:val="31"/>
          <w:szCs w:val="31"/>
          <w:lang w:val="en-US" w:eastAsia="zh-CN"/>
        </w:rPr>
        <w:t>2.</w:t>
      </w:r>
      <w:r>
        <w:rPr>
          <w:rStyle w:val="5"/>
          <w:rFonts w:hint="eastAsia" w:ascii="华文仿宋" w:hAnsi="华文仿宋" w:eastAsia="华文仿宋" w:cs="华文仿宋"/>
          <w:i w:val="0"/>
          <w:iCs w:val="0"/>
          <w:caps w:val="0"/>
          <w:color w:val="333333"/>
          <w:spacing w:val="0"/>
          <w:sz w:val="31"/>
          <w:szCs w:val="31"/>
        </w:rPr>
        <w:t>本行政机关</w:t>
      </w:r>
      <w:r>
        <w:rPr>
          <w:rStyle w:val="5"/>
          <w:rFonts w:hint="eastAsia" w:ascii="华文仿宋" w:hAnsi="华文仿宋" w:eastAsia="华文仿宋" w:cs="华文仿宋"/>
          <w:i w:val="0"/>
          <w:iCs w:val="0"/>
          <w:caps w:val="0"/>
          <w:color w:val="333333"/>
          <w:spacing w:val="0"/>
          <w:sz w:val="31"/>
          <w:szCs w:val="31"/>
          <w:lang w:val="en-US" w:eastAsia="zh-CN"/>
        </w:rPr>
        <w:t>收取信息处理费的情况</w:t>
      </w:r>
    </w:p>
    <w:p>
      <w:pPr>
        <w:ind w:firstLine="640" w:firstLineChars="20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依据《政府信息公开信息处理费管理办法》《山东省人民政府办公厅关于做好政府信息公开信息处理费管理工作有关事项的通知》，本年度没有产生信息公开处理费。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645" w:leftChars="0" w:right="0" w:rightChars="0"/>
        <w:jc w:val="left"/>
        <w:rPr>
          <w:rStyle w:val="5"/>
          <w:rFonts w:hint="default" w:ascii="华文仿宋" w:hAnsi="华文仿宋" w:eastAsia="华文仿宋" w:cs="华文仿宋"/>
          <w:i w:val="0"/>
          <w:iCs w:val="0"/>
          <w:caps w:val="0"/>
          <w:color w:val="333333"/>
          <w:spacing w:val="0"/>
          <w:sz w:val="31"/>
          <w:szCs w:val="31"/>
          <w:lang w:val="en-US" w:eastAsia="zh-CN"/>
        </w:rPr>
      </w:pPr>
      <w:r>
        <w:rPr>
          <w:rStyle w:val="5"/>
          <w:rFonts w:hint="eastAsia" w:ascii="华文仿宋" w:hAnsi="华文仿宋" w:eastAsia="华文仿宋" w:cs="华文仿宋"/>
          <w:i w:val="0"/>
          <w:iCs w:val="0"/>
          <w:caps w:val="0"/>
          <w:color w:val="333333"/>
          <w:spacing w:val="0"/>
          <w:sz w:val="31"/>
          <w:szCs w:val="31"/>
          <w:lang w:val="en-US" w:eastAsia="zh-CN"/>
        </w:rPr>
        <w:t>3.落实上级年度政务公开工作要点情况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494949"/>
          <w:spacing w:val="0"/>
          <w:sz w:val="32"/>
          <w:szCs w:val="32"/>
          <w:shd w:val="clear" w:fill="FFFFFF"/>
        </w:rPr>
        <w:t>2021年我局高度重视政务公开工作</w:t>
      </w:r>
      <w:r>
        <w:rPr>
          <w:rFonts w:hint="eastAsia" w:ascii="仿宋" w:hAnsi="仿宋" w:eastAsia="仿宋" w:cs="仿宋"/>
          <w:i w:val="0"/>
          <w:iCs w:val="0"/>
          <w:caps w:val="0"/>
          <w:color w:val="494949"/>
          <w:spacing w:val="0"/>
          <w:sz w:val="32"/>
          <w:szCs w:val="32"/>
          <w:shd w:val="clear" w:fill="FFFFFF"/>
          <w:lang w:eastAsia="zh-CN"/>
        </w:rPr>
        <w:t>，</w:t>
      </w:r>
      <w:r>
        <w:rPr>
          <w:rFonts w:hint="eastAsia" w:ascii="仿宋" w:hAnsi="仿宋" w:eastAsia="仿宋" w:cs="仿宋"/>
          <w:i w:val="0"/>
          <w:iCs w:val="0"/>
          <w:caps w:val="0"/>
          <w:color w:val="494949"/>
          <w:spacing w:val="0"/>
          <w:sz w:val="32"/>
          <w:szCs w:val="32"/>
          <w:shd w:val="clear" w:fill="FFFFFF"/>
        </w:rPr>
        <w:t>把政务公开工作摆上重要议事日程，与</w:t>
      </w:r>
      <w:r>
        <w:rPr>
          <w:rFonts w:hint="eastAsia" w:ascii="仿宋" w:hAnsi="仿宋" w:eastAsia="仿宋" w:cs="仿宋"/>
          <w:i w:val="0"/>
          <w:iCs w:val="0"/>
          <w:caps w:val="0"/>
          <w:color w:val="494949"/>
          <w:spacing w:val="0"/>
          <w:sz w:val="32"/>
          <w:szCs w:val="32"/>
          <w:shd w:val="clear" w:fill="FFFFFF"/>
          <w:lang w:val="en-US" w:eastAsia="zh-CN"/>
        </w:rPr>
        <w:t>财政</w:t>
      </w:r>
      <w:r>
        <w:rPr>
          <w:rFonts w:hint="eastAsia" w:ascii="仿宋" w:hAnsi="仿宋" w:eastAsia="仿宋" w:cs="仿宋"/>
          <w:i w:val="0"/>
          <w:iCs w:val="0"/>
          <w:caps w:val="0"/>
          <w:color w:val="494949"/>
          <w:spacing w:val="0"/>
          <w:sz w:val="32"/>
          <w:szCs w:val="32"/>
          <w:shd w:val="clear" w:fill="FFFFFF"/>
        </w:rPr>
        <w:t>工作同研究、同部署、同考核，并</w:t>
      </w:r>
      <w:r>
        <w:rPr>
          <w:rFonts w:hint="eastAsia" w:ascii="仿宋" w:hAnsi="仿宋" w:eastAsia="仿宋" w:cs="仿宋"/>
          <w:i w:val="0"/>
          <w:iCs w:val="0"/>
          <w:caps w:val="0"/>
          <w:color w:val="333333"/>
          <w:spacing w:val="0"/>
          <w:sz w:val="32"/>
          <w:szCs w:val="32"/>
          <w:shd w:val="clear" w:fill="FFFFFF"/>
        </w:rPr>
        <w:t>进一步明确责任，充分发挥政务公开领导小组作用</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做到主要领导亲自抓，分管领导直接抓，每个公开板块具体责任明确到科室和个人，确保政务公开工作有序、责任落实到位</w:t>
      </w:r>
      <w:r>
        <w:rPr>
          <w:rFonts w:hint="eastAsia" w:ascii="仿宋" w:hAnsi="仿宋" w:eastAsia="仿宋" w:cs="仿宋"/>
          <w:i w:val="0"/>
          <w:iCs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rPr>
        <w:t>同时</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我局</w:t>
      </w:r>
      <w:r>
        <w:rPr>
          <w:rFonts w:hint="eastAsia" w:ascii="仿宋" w:hAnsi="仿宋" w:eastAsia="仿宋" w:cs="仿宋"/>
          <w:i w:val="0"/>
          <w:iCs w:val="0"/>
          <w:caps w:val="0"/>
          <w:color w:val="333333"/>
          <w:spacing w:val="0"/>
          <w:sz w:val="32"/>
          <w:szCs w:val="32"/>
        </w:rPr>
        <w:t>加大政府信息主动公开工作的探索和创新，积极打造亮点工作。一是印</w:t>
      </w:r>
      <w:r>
        <w:rPr>
          <w:rFonts w:hint="eastAsia" w:ascii="仿宋" w:hAnsi="仿宋" w:eastAsia="仿宋" w:cs="仿宋"/>
          <w:i w:val="0"/>
          <w:iCs w:val="0"/>
          <w:caps w:val="0"/>
          <w:color w:val="333333"/>
          <w:spacing w:val="0"/>
          <w:sz w:val="32"/>
          <w:szCs w:val="32"/>
          <w:lang w:val="en-US" w:eastAsia="zh-CN"/>
        </w:rPr>
        <w:t>制</w:t>
      </w:r>
      <w:r>
        <w:rPr>
          <w:rFonts w:hint="eastAsia" w:ascii="仿宋" w:hAnsi="仿宋" w:eastAsia="仿宋" w:cs="仿宋"/>
          <w:i w:val="0"/>
          <w:iCs w:val="0"/>
          <w:caps w:val="0"/>
          <w:color w:val="333333"/>
          <w:spacing w:val="0"/>
          <w:sz w:val="31"/>
          <w:szCs w:val="31"/>
        </w:rPr>
        <w:t>《财政民生政策公开手册》，</w:t>
      </w:r>
      <w:r>
        <w:rPr>
          <w:rFonts w:hint="eastAsia" w:ascii="仿宋" w:hAnsi="仿宋" w:eastAsia="仿宋" w:cs="仿宋"/>
          <w:i w:val="0"/>
          <w:iCs w:val="0"/>
          <w:caps w:val="0"/>
          <w:color w:val="191919"/>
          <w:spacing w:val="0"/>
          <w:sz w:val="31"/>
          <w:szCs w:val="31"/>
          <w:shd w:val="clear" w:fill="FFFFFF"/>
        </w:rPr>
        <w:t>对市民反映较多的难点问题进行梳理分析，</w:t>
      </w:r>
      <w:r>
        <w:rPr>
          <w:rFonts w:hint="eastAsia" w:ascii="仿宋" w:hAnsi="仿宋" w:eastAsia="仿宋" w:cs="仿宋"/>
          <w:i w:val="0"/>
          <w:iCs w:val="0"/>
          <w:caps w:val="0"/>
          <w:color w:val="333333"/>
          <w:spacing w:val="0"/>
          <w:sz w:val="31"/>
          <w:szCs w:val="31"/>
        </w:rPr>
        <w:t>将七大类民生政策内容整合，在市财政局政务公开栏目发布，并通过媒体进社区和阳光财政平台等方式向市民免费发放，</w:t>
      </w:r>
      <w:r>
        <w:rPr>
          <w:rFonts w:hint="eastAsia" w:ascii="仿宋" w:hAnsi="仿宋" w:eastAsia="仿宋" w:cs="仿宋"/>
          <w:i w:val="0"/>
          <w:iCs w:val="0"/>
          <w:caps w:val="0"/>
          <w:color w:val="333333"/>
          <w:spacing w:val="0"/>
          <w:sz w:val="31"/>
          <w:szCs w:val="31"/>
          <w:shd w:val="clear" w:fill="FFFFFF"/>
        </w:rPr>
        <w:t>方便市民及时了解财政政策、理解政策、用好政策</w:t>
      </w:r>
      <w:r>
        <w:rPr>
          <w:rFonts w:hint="eastAsia" w:ascii="仿宋" w:hAnsi="仿宋" w:eastAsia="仿宋" w:cs="仿宋"/>
          <w:i w:val="0"/>
          <w:iCs w:val="0"/>
          <w:caps w:val="0"/>
          <w:color w:val="333333"/>
          <w:spacing w:val="0"/>
          <w:sz w:val="31"/>
          <w:szCs w:val="31"/>
        </w:rPr>
        <w:t>。二是制作政务信息公开展板，通过线上线下结合的方式进行机构信息公开，让信息更加直接、简便地向社会公开，让公开更为彻底。三是印发《市财政局政务公开联络员工作制度》，进一步加强政务公开、政务服务热线工作联络，提高工作协调联动水平。</w:t>
      </w:r>
      <w:r>
        <w:rPr>
          <w:rFonts w:hint="eastAsia" w:ascii="仿宋" w:hAnsi="仿宋" w:eastAsia="仿宋" w:cs="仿宋"/>
          <w:i w:val="0"/>
          <w:iCs w:val="0"/>
          <w:caps w:val="0"/>
          <w:color w:val="333333"/>
          <w:spacing w:val="0"/>
          <w:sz w:val="31"/>
          <w:szCs w:val="31"/>
          <w:shd w:val="clear" w:fill="FFFFFF"/>
        </w:rPr>
        <w:t>以为群众“办好一件事”为标准，更好地对办事服务信息加以集成、优化、简化，并向社会公开，最大限度确保政务公开工作的及时性。四是优化办事流程，最大限度实现透明化办事。对外公共服务科协调各业务科室及时更新并公开办事方式、办事条件等信息，推动“放管服”改革进程，进一步提升信息公开便利度。</w:t>
      </w:r>
    </w:p>
    <w:p>
      <w:pPr>
        <w:ind w:firstLine="640" w:firstLineChars="200"/>
        <w:rPr>
          <w:rFonts w:hint="eastAsia" w:ascii="仿宋" w:hAnsi="仿宋" w:eastAsia="仿宋" w:cs="仿宋"/>
          <w:i w:val="0"/>
          <w:iCs w:val="0"/>
          <w:caps w:val="0"/>
          <w:color w:val="494949"/>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MzEwMmRkZWU4MDQyNTc3N2VkYThiMDQ3OWJhZjkifQ=="/>
  </w:docVars>
  <w:rsids>
    <w:rsidRoot w:val="00000000"/>
    <w:rsid w:val="11573FC6"/>
    <w:rsid w:val="13AC5669"/>
    <w:rsid w:val="1AE133B8"/>
    <w:rsid w:val="283D51AA"/>
    <w:rsid w:val="4C6756EA"/>
    <w:rsid w:val="5FED5A2E"/>
    <w:rsid w:val="6A5C5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3676</Words>
  <Characters>3776</Characters>
  <Lines>0</Lines>
  <Paragraphs>0</Paragraphs>
  <TotalTime>11</TotalTime>
  <ScaleCrop>false</ScaleCrop>
  <LinksUpToDate>false</LinksUpToDate>
  <CharactersWithSpaces>3931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2022-07-11T01:09:00Z</dcterms:created>
  <dc:creator>lenovo</dc:creator>
  <cp:lastModifiedBy>lenovo</cp:lastModifiedBy>
  <cp:lastPrinted>2022-07-13T02:14:00Z</cp:lastPrinted>
  <dcterms:modified xsi:type="dcterms:W3CDTF">2022-07-14T01:09:05Z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99687212B8C74A3CB4CE45AEA14B1F21</vt:lpwstr>
  </property>
</Properties>
</file>