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20" w:lineRule="atLeast"/>
        <w:ind w:left="0" w:right="0" w:firstLine="0"/>
        <w:jc w:val="center"/>
        <w:rPr>
          <w:rFonts w:hint="eastAsia" w:ascii="黑体" w:hAnsi="黑体" w:eastAsia="黑体" w:cs="黑体"/>
          <w:b/>
          <w:bCs/>
          <w:i w:val="0"/>
          <w:iCs w:val="0"/>
          <w:caps w:val="0"/>
          <w:color w:val="000000" w:themeColor="text1"/>
          <w:spacing w:val="0"/>
          <w:sz w:val="36"/>
          <w:szCs w:val="36"/>
          <w:u w:val="none"/>
          <w14:textFill>
            <w14:solidFill>
              <w14:schemeClr w14:val="tx1"/>
            </w14:solidFill>
          </w14:textFill>
        </w:rPr>
      </w:pPr>
      <w:r>
        <w:rPr>
          <w:rFonts w:hint="eastAsia" w:ascii="黑体" w:hAnsi="黑体" w:eastAsia="黑体" w:cs="黑体"/>
          <w:b/>
          <w:bCs/>
          <w:i w:val="0"/>
          <w:iCs w:val="0"/>
          <w:caps w:val="0"/>
          <w:color w:val="000000" w:themeColor="text1"/>
          <w:spacing w:val="0"/>
          <w:sz w:val="36"/>
          <w:szCs w:val="36"/>
          <w:u w:val="none"/>
          <w:shd w:val="clear" w:fill="FFFFFF"/>
          <w14:textFill>
            <w14:solidFill>
              <w14:schemeClr w14:val="tx1"/>
            </w14:solidFill>
          </w14:textFill>
        </w:rPr>
        <w:t>关于《</w:t>
      </w:r>
      <w:r>
        <w:rPr>
          <w:rFonts w:hint="eastAsia" w:ascii="黑体" w:hAnsi="黑体" w:eastAsia="黑体" w:cs="黑体"/>
          <w:b/>
          <w:bCs/>
          <w:i w:val="0"/>
          <w:iCs w:val="0"/>
          <w:caps w:val="0"/>
          <w:color w:val="000000" w:themeColor="text1"/>
          <w:spacing w:val="0"/>
          <w:sz w:val="36"/>
          <w:szCs w:val="36"/>
          <w:u w:val="none"/>
          <w14:textFill>
            <w14:solidFill>
              <w14:schemeClr w14:val="tx1"/>
            </w14:solidFill>
          </w14:textFill>
        </w:rPr>
        <w:t>泰安市财政局2021年政府信息公开工作年度报告</w:t>
      </w:r>
      <w:r>
        <w:rPr>
          <w:rFonts w:hint="eastAsia" w:ascii="黑体" w:hAnsi="黑体" w:eastAsia="黑体" w:cs="黑体"/>
          <w:b/>
          <w:bCs/>
          <w:i w:val="0"/>
          <w:iCs w:val="0"/>
          <w:caps w:val="0"/>
          <w:color w:val="000000" w:themeColor="text1"/>
          <w:spacing w:val="0"/>
          <w:sz w:val="36"/>
          <w:szCs w:val="36"/>
          <w:u w:val="none"/>
          <w:shd w:val="clear" w:fill="FFFFFF"/>
          <w14:textFill>
            <w14:solidFill>
              <w14:schemeClr w14:val="tx1"/>
            </w14:solidFill>
          </w14:textFill>
        </w:rPr>
        <w:t>》的解读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i w:val="0"/>
          <w:iCs w:val="0"/>
          <w:caps w:val="0"/>
          <w:color w:val="333333"/>
          <w:spacing w:val="0"/>
          <w:kern w:val="0"/>
          <w:sz w:val="32"/>
          <w:szCs w:val="32"/>
          <w:u w:val="none"/>
          <w:shd w:val="clear" w:fill="FFFFFF"/>
          <w:lang w:val="en-US" w:eastAsia="zh-CN" w:bidi="ar"/>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333333"/>
          <w:spacing w:val="0"/>
          <w:sz w:val="32"/>
          <w:szCs w:val="32"/>
          <w:u w:val="none"/>
        </w:rPr>
      </w:pP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2022年1月23日，泰安市财政局对《</w:t>
      </w:r>
      <w:r>
        <w:rPr>
          <w:rFonts w:hint="eastAsia" w:ascii="仿宋" w:hAnsi="仿宋" w:eastAsia="仿宋" w:cs="仿宋"/>
          <w:b w:val="0"/>
          <w:bCs w:val="0"/>
          <w:i w:val="0"/>
          <w:iCs w:val="0"/>
          <w:caps w:val="0"/>
          <w:color w:val="000000" w:themeColor="text1"/>
          <w:spacing w:val="0"/>
          <w:sz w:val="32"/>
          <w:szCs w:val="32"/>
          <w:u w:val="none"/>
          <w14:textFill>
            <w14:solidFill>
              <w14:schemeClr w14:val="tx1"/>
            </w14:solidFill>
          </w14:textFill>
        </w:rPr>
        <w:t>泰安市财政局2021年政府信息公开工作年度报告</w:t>
      </w: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》进行如下解读：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黑体" w:hAnsi="黑体" w:eastAsia="黑体" w:cs="黑体"/>
          <w:b w:val="0"/>
          <w:bCs w:val="0"/>
          <w:i w:val="0"/>
          <w:iCs w:val="0"/>
          <w:caps w:val="0"/>
          <w:color w:val="333333"/>
          <w:spacing w:val="0"/>
          <w:sz w:val="32"/>
          <w:szCs w:val="32"/>
          <w:u w:val="none"/>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一、制定背景和依据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333333"/>
          <w:spacing w:val="0"/>
          <w:sz w:val="32"/>
          <w:szCs w:val="32"/>
          <w:u w:val="none"/>
          <w:lang w:val="en-US"/>
        </w:rPr>
      </w:pP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泰安市财政局全面贯彻落实党的十九大和十九届五中、六中全会精神，严格落实《中华人民共和国政府信息公开条例》（国务院令711号），按照《泰安市人民政府办公室关于印发泰安市2021年政务公开重点工作任务分工的通知》的各项重点工作任务，部署全局年度工作任务，并结合我局实际情况，制定本年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二、制定意义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333333"/>
          <w:spacing w:val="0"/>
          <w:sz w:val="32"/>
          <w:szCs w:val="32"/>
          <w:u w:val="none"/>
        </w:rPr>
      </w:pP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政府信息公开年度报告是全面反映政府信息公开工作情况，加强政府信息管理、展现政府施政过程及结果的重要方式，公开年度政府信息公开年度报告大幅度方便了群众了解政府信息公开工作全貌。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黑体" w:hAnsi="黑体" w:eastAsia="黑体" w:cs="黑体"/>
          <w:b w:val="0"/>
          <w:bCs w:val="0"/>
          <w:i w:val="0"/>
          <w:iCs w:val="0"/>
          <w:caps w:val="0"/>
          <w:color w:val="333333"/>
          <w:spacing w:val="0"/>
          <w:sz w:val="32"/>
          <w:szCs w:val="32"/>
          <w:u w:val="none"/>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三、工作任务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pP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强化重点领域解读、提升解读质量、完善解读方式，</w:t>
      </w:r>
      <w:r>
        <w:rPr>
          <w:rFonts w:hint="eastAsia" w:ascii="仿宋" w:hAnsi="仿宋" w:eastAsia="仿宋" w:cs="仿宋"/>
          <w:b w:val="0"/>
          <w:bCs w:val="0"/>
          <w:i w:val="0"/>
          <w:iCs w:val="0"/>
          <w:caps w:val="0"/>
          <w:color w:val="333333"/>
          <w:spacing w:val="0"/>
          <w:sz w:val="32"/>
          <w:szCs w:val="32"/>
          <w:u w:val="none"/>
          <w:shd w:val="clear" w:fill="FFFFFF"/>
        </w:rPr>
        <w:t>坚持以提升政务公开质量为主线，深化重点领域信息公开</w:t>
      </w:r>
      <w:r>
        <w:rPr>
          <w:rFonts w:hint="eastAsia" w:ascii="仿宋" w:hAnsi="仿宋" w:eastAsia="仿宋" w:cs="仿宋"/>
          <w:b w:val="0"/>
          <w:bCs w:val="0"/>
          <w:i w:val="0"/>
          <w:iCs w:val="0"/>
          <w:caps w:val="0"/>
          <w:color w:val="333333"/>
          <w:spacing w:val="0"/>
          <w:sz w:val="32"/>
          <w:szCs w:val="32"/>
          <w:u w:val="none"/>
          <w:shd w:val="clear" w:fill="FFFFFF"/>
          <w:lang w:eastAsia="zh-CN"/>
        </w:rPr>
        <w:t>。</w:t>
      </w:r>
      <w:r>
        <w:rPr>
          <w:rFonts w:hint="eastAsia" w:ascii="仿宋" w:hAnsi="仿宋" w:eastAsia="仿宋" w:cs="仿宋"/>
          <w:b w:val="0"/>
          <w:bCs w:val="0"/>
          <w:i w:val="0"/>
          <w:iCs w:val="0"/>
          <w:caps w:val="0"/>
          <w:color w:val="333333"/>
          <w:spacing w:val="0"/>
          <w:sz w:val="32"/>
          <w:szCs w:val="32"/>
          <w:u w:val="none"/>
          <w:shd w:val="clear" w:fill="FFFFFF"/>
        </w:rPr>
        <w:t>创新创造公开方式，全面推进权力运行全流程、政务服务全过程公开，政府信息公开工作持续深入推进</w:t>
      </w:r>
      <w:r>
        <w:rPr>
          <w:rFonts w:hint="eastAsia" w:ascii="仿宋" w:hAnsi="仿宋" w:eastAsia="仿宋" w:cs="仿宋"/>
          <w:b w:val="0"/>
          <w:bCs w:val="0"/>
          <w:i w:val="0"/>
          <w:iCs w:val="0"/>
          <w:caps w:val="0"/>
          <w:color w:val="333333"/>
          <w:spacing w:val="0"/>
          <w:sz w:val="32"/>
          <w:szCs w:val="32"/>
          <w:u w:val="none"/>
          <w:shd w:val="clear" w:fill="FFFFFF"/>
          <w:lang w:eastAsia="zh-CN"/>
        </w:rPr>
        <w:t>，</w:t>
      </w: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全面深入完善政务公开标准化规范化。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3"/>
        <w:jc w:val="both"/>
        <w:rPr>
          <w:rFonts w:hint="eastAsia" w:ascii="黑体" w:hAnsi="黑体" w:eastAsia="黑体" w:cs="黑体"/>
          <w:b w:val="0"/>
          <w:bCs w:val="0"/>
          <w:i w:val="0"/>
          <w:iCs w:val="0"/>
          <w:caps w:val="0"/>
          <w:color w:val="333333"/>
          <w:spacing w:val="0"/>
          <w:sz w:val="32"/>
          <w:szCs w:val="32"/>
          <w:u w:val="none"/>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四、主要内容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333333"/>
          <w:spacing w:val="0"/>
          <w:sz w:val="32"/>
          <w:szCs w:val="32"/>
          <w:u w:val="none"/>
          <w:shd w:val="clear" w:fill="FFFFFF"/>
        </w:rPr>
      </w:pP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1、</w:t>
      </w:r>
      <w:r>
        <w:rPr>
          <w:rFonts w:hint="eastAsia" w:ascii="仿宋" w:hAnsi="仿宋" w:eastAsia="仿宋" w:cs="仿宋"/>
          <w:b w:val="0"/>
          <w:bCs w:val="0"/>
          <w:i w:val="0"/>
          <w:iCs w:val="0"/>
          <w:caps w:val="0"/>
          <w:color w:val="333333"/>
          <w:spacing w:val="0"/>
          <w:sz w:val="32"/>
          <w:szCs w:val="32"/>
          <w:u w:val="none"/>
          <w:shd w:val="clear" w:fill="FFFFFF"/>
        </w:rPr>
        <w:t>2021年市财政局主动公开信息961条，其中：机构概况信息7条；政府预决算信息396条；财政收支信息12条，财政收支信息解读3条；政策法规类信息4条；决策公开类信息20条；执行公开类信息91条；管理公开类信息24条；建议提案办理结果公开9条；解读信息发布5条。此外，通过财政有关栏目发布公开通知公告类信息 62 条，工作动态类信息73条。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ascii="仿宋" w:hAnsi="仿宋" w:eastAsia="仿宋" w:cs="仿宋"/>
          <w:b w:val="0"/>
          <w:bCs w:val="0"/>
          <w:i w:val="0"/>
          <w:iCs w:val="0"/>
          <w:caps w:val="0"/>
          <w:color w:val="333333"/>
          <w:spacing w:val="0"/>
          <w:sz w:val="32"/>
          <w:szCs w:val="32"/>
          <w:u w:val="none"/>
          <w:shd w:val="clear" w:fill="FFFFFF"/>
        </w:rPr>
      </w:pPr>
      <w:r>
        <w:rPr>
          <w:rFonts w:hint="eastAsia" w:ascii="仿宋" w:hAnsi="仿宋" w:eastAsia="仿宋" w:cs="仿宋"/>
          <w:b w:val="0"/>
          <w:bCs w:val="0"/>
          <w:i w:val="0"/>
          <w:iCs w:val="0"/>
          <w:caps w:val="0"/>
          <w:color w:val="333333"/>
          <w:spacing w:val="0"/>
          <w:sz w:val="32"/>
          <w:szCs w:val="32"/>
          <w:u w:val="none"/>
          <w:shd w:val="clear" w:fill="FFFFFF"/>
          <w:lang w:val="en-US" w:eastAsia="zh-CN"/>
        </w:rPr>
        <w:t>2、</w:t>
      </w:r>
      <w:r>
        <w:rPr>
          <w:rFonts w:hint="eastAsia" w:ascii="仿宋" w:hAnsi="仿宋" w:eastAsia="仿宋" w:cs="仿宋"/>
          <w:b w:val="0"/>
          <w:bCs w:val="0"/>
          <w:i w:val="0"/>
          <w:iCs w:val="0"/>
          <w:caps w:val="0"/>
          <w:color w:val="333333"/>
          <w:spacing w:val="0"/>
          <w:sz w:val="32"/>
          <w:szCs w:val="32"/>
          <w:u w:val="none"/>
          <w:shd w:val="clear" w:fill="FFFFFF"/>
        </w:rPr>
        <w:t>持续优化健全“依申请公开处理机制”，明确答复时限，优化办理流程，提高答复质量。市财政局全年共收到依申请信息12条，其中</w:t>
      </w:r>
      <w:r>
        <w:rPr>
          <w:rFonts w:hint="eastAsia" w:ascii="仿宋" w:hAnsi="仿宋" w:eastAsia="仿宋" w:cs="仿宋"/>
          <w:b w:val="0"/>
          <w:bCs w:val="0"/>
          <w:i w:val="0"/>
          <w:iCs w:val="0"/>
          <w:caps w:val="0"/>
          <w:color w:val="333333"/>
          <w:spacing w:val="0"/>
          <w:sz w:val="32"/>
          <w:szCs w:val="32"/>
          <w:u w:val="none"/>
        </w:rPr>
        <w:t>收到邮递依申请公开信息 2 条，信息公开平台依申请公开 10 条。办理时限均在规定时间内准确答复，</w:t>
      </w:r>
      <w:r>
        <w:rPr>
          <w:rFonts w:hint="eastAsia" w:ascii="仿宋" w:hAnsi="仿宋" w:eastAsia="仿宋" w:cs="仿宋"/>
          <w:b w:val="0"/>
          <w:bCs w:val="0"/>
          <w:i w:val="0"/>
          <w:iCs w:val="0"/>
          <w:caps w:val="0"/>
          <w:color w:val="333333"/>
          <w:spacing w:val="0"/>
          <w:sz w:val="32"/>
          <w:szCs w:val="32"/>
          <w:u w:val="none"/>
          <w:shd w:val="clear" w:fill="FFFFFF"/>
        </w:rPr>
        <w:t>办结率100%。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43" w:right="0" w:firstLine="0"/>
        <w:jc w:val="both"/>
        <w:rPr>
          <w:rFonts w:hint="eastAsia" w:ascii="黑体" w:hAnsi="黑体" w:eastAsia="黑体" w:cs="黑体"/>
          <w:b w:val="0"/>
          <w:bCs w:val="0"/>
          <w:i w:val="0"/>
          <w:iCs w:val="0"/>
          <w:caps w:val="0"/>
          <w:color w:val="333333"/>
          <w:spacing w:val="0"/>
          <w:sz w:val="32"/>
          <w:szCs w:val="32"/>
          <w:u w:val="none"/>
        </w:rPr>
      </w:pPr>
      <w:r>
        <w:rPr>
          <w:rFonts w:hint="eastAsia" w:ascii="黑体" w:hAnsi="黑体" w:eastAsia="黑体" w:cs="黑体"/>
          <w:b w:val="0"/>
          <w:bCs w:val="0"/>
          <w:i w:val="0"/>
          <w:iCs w:val="0"/>
          <w:caps w:val="0"/>
          <w:color w:val="333333"/>
          <w:spacing w:val="0"/>
          <w:kern w:val="0"/>
          <w:sz w:val="32"/>
          <w:szCs w:val="32"/>
          <w:u w:val="none"/>
          <w:shd w:val="clear" w:fill="FFFFFF"/>
          <w:lang w:val="en-US" w:eastAsia="zh-CN" w:bidi="ar"/>
        </w:rPr>
        <w:t>五、保障措施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仿宋" w:hAnsi="仿宋" w:eastAsia="仿宋" w:cs="仿宋"/>
          <w:b w:val="0"/>
          <w:bCs w:val="0"/>
          <w:i w:val="0"/>
          <w:iCs w:val="0"/>
          <w:caps w:val="0"/>
          <w:color w:val="333333"/>
          <w:spacing w:val="0"/>
          <w:sz w:val="32"/>
          <w:szCs w:val="32"/>
          <w:u w:val="none"/>
        </w:rPr>
      </w:pPr>
      <w:r>
        <w:rPr>
          <w:rFonts w:hint="eastAsia" w:ascii="仿宋" w:hAnsi="仿宋" w:eastAsia="仿宋" w:cs="仿宋"/>
          <w:b w:val="0"/>
          <w:bCs w:val="0"/>
          <w:i w:val="0"/>
          <w:iCs w:val="0"/>
          <w:caps w:val="0"/>
          <w:color w:val="333333"/>
          <w:spacing w:val="0"/>
          <w:kern w:val="0"/>
          <w:sz w:val="32"/>
          <w:szCs w:val="32"/>
          <w:u w:val="none"/>
          <w:shd w:val="clear" w:fill="FFFFFF"/>
          <w:lang w:val="en-US" w:eastAsia="zh-CN" w:bidi="ar"/>
        </w:rPr>
        <w:t>市财政局及时按照省、市政务公开工作要求作出调整，保证公开信息的质量和准确性。同时，注重评估后整改推进工作，保证测评发现的问题得到及时有效的整改和提高。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firstLineChars="200"/>
        <w:jc w:val="both"/>
        <w:rPr>
          <w:rFonts w:hint="eastAsia" w:ascii="仿宋" w:hAnsi="仿宋" w:eastAsia="仿宋" w:cs="仿宋"/>
          <w:b w:val="0"/>
          <w:bCs w:val="0"/>
          <w:i w:val="0"/>
          <w:iCs w:val="0"/>
          <w:caps w:val="0"/>
          <w:color w:val="333333"/>
          <w:spacing w:val="0"/>
          <w:sz w:val="32"/>
          <w:szCs w:val="32"/>
          <w:u w:val="none"/>
          <w:shd w:val="clear" w:fill="FFFFFF"/>
          <w:lang w:val="en-US" w:eastAsia="zh-CN"/>
        </w:rPr>
      </w:pPr>
      <w:r>
        <w:rPr>
          <w:rFonts w:hint="eastAsia" w:ascii="仿宋" w:hAnsi="仿宋" w:eastAsia="仿宋" w:cs="仿宋"/>
          <w:b w:val="0"/>
          <w:bCs w:val="0"/>
          <w:i w:val="0"/>
          <w:iCs w:val="0"/>
          <w:caps w:val="0"/>
          <w:color w:val="333333"/>
          <w:spacing w:val="0"/>
          <w:sz w:val="32"/>
          <w:szCs w:val="32"/>
          <w:u w:val="none"/>
          <w:shd w:val="clear" w:fill="FFFFFF"/>
        </w:rPr>
        <w:t> </w:t>
      </w:r>
      <w:r>
        <w:rPr>
          <w:rFonts w:hint="eastAsia" w:ascii="黑体" w:hAnsi="黑体" w:eastAsia="黑体" w:cs="黑体"/>
          <w:b w:val="0"/>
          <w:bCs w:val="0"/>
          <w:i w:val="0"/>
          <w:iCs w:val="0"/>
          <w:caps w:val="0"/>
          <w:color w:val="333333"/>
          <w:spacing w:val="0"/>
          <w:sz w:val="32"/>
          <w:szCs w:val="32"/>
          <w:u w:val="none"/>
          <w:shd w:val="clear" w:fill="FFFFFF"/>
          <w:lang w:val="en-US" w:eastAsia="zh-CN"/>
        </w:rPr>
        <w:t>六、下一步计划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40" w:firstLineChars="200"/>
        <w:jc w:val="both"/>
        <w:rPr>
          <w:rFonts w:hint="eastAsia" w:ascii="仿宋" w:hAnsi="仿宋" w:eastAsia="仿宋" w:cs="仿宋"/>
          <w:b w:val="0"/>
          <w:bCs w:val="0"/>
          <w:i w:val="0"/>
          <w:iCs w:val="0"/>
          <w:caps w:val="0"/>
          <w:color w:val="333333"/>
          <w:spacing w:val="0"/>
          <w:sz w:val="32"/>
          <w:szCs w:val="32"/>
          <w:u w:val="none"/>
        </w:rPr>
      </w:pPr>
      <w:r>
        <w:rPr>
          <w:rFonts w:hint="eastAsia" w:ascii="仿宋" w:hAnsi="仿宋" w:eastAsia="仿宋" w:cs="仿宋"/>
          <w:b w:val="0"/>
          <w:bCs w:val="0"/>
          <w:i w:val="0"/>
          <w:iCs w:val="0"/>
          <w:caps w:val="0"/>
          <w:color w:val="333333"/>
          <w:spacing w:val="0"/>
          <w:sz w:val="32"/>
          <w:szCs w:val="32"/>
          <w:u w:val="none"/>
          <w:shd w:val="clear" w:fill="FFFFFF"/>
        </w:rPr>
        <w:t>持续加强重点领域信息公开和重大决策公开，提升解读质量，进一步提高人员素质，做好全</w:t>
      </w:r>
      <w:r>
        <w:rPr>
          <w:rFonts w:hint="eastAsia" w:ascii="仿宋" w:hAnsi="仿宋" w:eastAsia="仿宋" w:cs="仿宋"/>
          <w:b w:val="0"/>
          <w:bCs w:val="0"/>
          <w:i w:val="0"/>
          <w:iCs w:val="0"/>
          <w:caps w:val="0"/>
          <w:color w:val="333333"/>
          <w:spacing w:val="0"/>
          <w:sz w:val="32"/>
          <w:szCs w:val="32"/>
          <w:u w:val="none"/>
          <w:shd w:val="clear" w:fill="FFFFFF"/>
          <w:lang w:val="en-US" w:eastAsia="zh-CN"/>
        </w:rPr>
        <w:t>局</w:t>
      </w:r>
      <w:r>
        <w:rPr>
          <w:rFonts w:hint="eastAsia" w:ascii="仿宋" w:hAnsi="仿宋" w:eastAsia="仿宋" w:cs="仿宋"/>
          <w:b w:val="0"/>
          <w:bCs w:val="0"/>
          <w:i w:val="0"/>
          <w:iCs w:val="0"/>
          <w:caps w:val="0"/>
          <w:color w:val="333333"/>
          <w:spacing w:val="0"/>
          <w:sz w:val="32"/>
          <w:szCs w:val="32"/>
          <w:u w:val="none"/>
          <w:shd w:val="clear" w:fill="FFFFFF"/>
        </w:rPr>
        <w:t>政府信息公开工作</w:t>
      </w:r>
      <w:r>
        <w:rPr>
          <w:rFonts w:hint="eastAsia" w:ascii="仿宋" w:hAnsi="仿宋" w:eastAsia="仿宋" w:cs="仿宋"/>
          <w:b w:val="0"/>
          <w:bCs w:val="0"/>
          <w:i w:val="0"/>
          <w:iCs w:val="0"/>
          <w:caps w:val="0"/>
          <w:color w:val="333333"/>
          <w:spacing w:val="0"/>
          <w:sz w:val="32"/>
          <w:szCs w:val="32"/>
          <w:u w:val="none"/>
          <w:shd w:val="clear" w:fill="FFFFFF"/>
          <w:lang w:val="en-US" w:eastAsia="zh-CN"/>
        </w:rPr>
        <w:t>有力</w:t>
      </w:r>
      <w:r>
        <w:rPr>
          <w:rFonts w:hint="eastAsia" w:ascii="仿宋" w:hAnsi="仿宋" w:eastAsia="仿宋" w:cs="仿宋"/>
          <w:b w:val="0"/>
          <w:bCs w:val="0"/>
          <w:i w:val="0"/>
          <w:iCs w:val="0"/>
          <w:caps w:val="0"/>
          <w:color w:val="333333"/>
          <w:spacing w:val="0"/>
          <w:sz w:val="32"/>
          <w:szCs w:val="32"/>
          <w:u w:val="none"/>
          <w:shd w:val="clear" w:fill="FFFFFF"/>
        </w:rPr>
        <w:t>推进。</w:t>
      </w:r>
    </w:p>
    <w:p>
      <w:pPr>
        <w:rPr>
          <w:rFonts w:hint="eastAsia" w:ascii="仿宋" w:hAnsi="仿宋" w:eastAsia="仿宋" w:cs="仿宋"/>
          <w:b w:val="0"/>
          <w:bCs w:val="0"/>
          <w:sz w:val="32"/>
          <w:szCs w:val="32"/>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MzEwMmRkZWU4MDQyNTc3N2VkYThiMDQ3OWJhZjkifQ=="/>
  </w:docVars>
  <w:rsids>
    <w:rsidRoot w:val="00000000"/>
    <w:rsid w:val="017B4256"/>
    <w:rsid w:val="0A7D7D7B"/>
    <w:rsid w:val="16F808EA"/>
    <w:rsid w:val="60985CBD"/>
    <w:rsid w:val="73234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847</Words>
  <Characters>880</Characters>
  <Lines>0</Lines>
  <Paragraphs>0</Paragraphs>
  <TotalTime>22</TotalTime>
  <ScaleCrop>false</ScaleCrop>
  <LinksUpToDate>false</LinksUpToDate>
  <CharactersWithSpaces>887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2022-07-11T06:58:00Z</dcterms:created>
  <dc:creator>lenovo</dc:creator>
  <cp:lastModifiedBy>lenovo</cp:lastModifiedBy>
  <cp:lastPrinted>2022-07-13T01:51:00Z</cp:lastPrinted>
  <dcterms:modified xsi:type="dcterms:W3CDTF">2022-07-14T01:11:20Z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0972C77502184AD9AF71960F2BB33F8F</vt:lpwstr>
  </property>
</Properties>
</file>