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val="en-US" w:eastAsia="zh-CN"/>
        </w:rPr>
        <w:t>泰安市财政局</w:t>
      </w: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2</w:t>
      </w:r>
      <w:r>
        <w:rPr>
          <w:rFonts w:ascii="Times New Roman" w:hAnsi="Times New Roman" w:eastAsia="方正小标宋简体"/>
          <w:color w:val="auto"/>
          <w:spacing w:val="10"/>
          <w:sz w:val="44"/>
          <w:szCs w:val="44"/>
        </w:rPr>
        <w:t>年政府信息公开</w:t>
      </w:r>
    </w:p>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ascii="Times New Roman" w:hAnsi="Times New Roman" w:eastAsia="方正小标宋简体"/>
          <w:color w:val="auto"/>
          <w:spacing w:val="10"/>
          <w:sz w:val="44"/>
          <w:szCs w:val="44"/>
        </w:rPr>
        <w:t>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度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pStyle w:val="5"/>
        <w:spacing w:before="0" w:beforeAutospacing="0" w:after="0" w:afterAutospacing="0" w:line="600" w:lineRule="exact"/>
        <w:ind w:firstLine="640" w:firstLineChars="200"/>
        <w:jc w:val="both"/>
        <w:rPr>
          <w:rFonts w:hint="default" w:ascii="仿宋_GB2312" w:eastAsia="仿宋_GB2312"/>
          <w:color w:val="auto"/>
          <w:sz w:val="32"/>
          <w:szCs w:val="32"/>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年，我局认真贯彻落实《中华人民共和国政府信息公开条例》及中央和省委省政府、市委市政府关于推进政府信息公开工作要求，紧紧围绕市委市政府重大决策部署和人民群众关注关切，坚持以提升政务公开质量为主线，规范信息发布流程，严审信息格式内容，加大主动公开力度，不断提高政府信息公开水平。</w:t>
      </w:r>
    </w:p>
    <w:p>
      <w:pPr>
        <w:numPr>
          <w:ilvl w:val="0"/>
          <w:numId w:val="1"/>
        </w:numPr>
        <w:ind w:firstLine="643" w:firstLineChars="200"/>
        <w:rPr>
          <w:rFonts w:hint="eastAsia" w:ascii="仿宋" w:hAnsi="仿宋" w:eastAsia="仿宋" w:cs="仿宋"/>
          <w:i w:val="0"/>
          <w:iCs w:val="0"/>
          <w:caps w:val="0"/>
          <w:color w:val="000000"/>
          <w:spacing w:val="0"/>
          <w:sz w:val="31"/>
          <w:szCs w:val="31"/>
          <w:shd w:val="clear" w:fill="FFFFFF"/>
          <w:lang w:eastAsia="zh-CN"/>
        </w:rPr>
      </w:pPr>
      <w:r>
        <w:rPr>
          <w:rFonts w:ascii="仿宋_GB2312" w:eastAsia="仿宋_GB2312"/>
          <w:b/>
          <w:bCs/>
          <w:color w:val="auto"/>
          <w:sz w:val="32"/>
          <w:szCs w:val="32"/>
        </w:rPr>
        <w:t>主动公开</w:t>
      </w:r>
    </w:p>
    <w:p>
      <w:pPr>
        <w:numPr>
          <w:ilvl w:val="0"/>
          <w:numId w:val="0"/>
        </w:numPr>
        <w:ind w:firstLine="640" w:firstLineChars="200"/>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2022年，市财政局围绕财政资金、减税降费、民生工程等重点领域，全方位、全流程公开财政预决算和“三公”经费、专项资金、直达资金、政府性债务等财政重点信息，同步建立信息审查、维护责任机制，明确责任科室和责任人，常态化更新信息。2022年全年主动公开信息890条，其中：机构概况信息6条；政府预决算信息568条；财政收支信息12条，财政收支信息解读4条；决策公开类信息18条；执行公开类信息56条；管理公开类信息38条。</w:t>
      </w:r>
    </w:p>
    <w:p>
      <w:pPr>
        <w:pStyle w:val="5"/>
        <w:keepNext w:val="0"/>
        <w:keepLines w:val="0"/>
        <w:widowControl/>
        <w:numPr>
          <w:ilvl w:val="0"/>
          <w:numId w:val="1"/>
        </w:numPr>
        <w:suppressLineNumbers w:val="0"/>
        <w:spacing w:before="0" w:beforeAutospacing="0" w:after="0" w:afterAutospacing="0" w:line="420" w:lineRule="atLeast"/>
        <w:ind w:left="0" w:leftChars="0" w:right="0" w:firstLine="643" w:firstLineChars="200"/>
        <w:rPr>
          <w:rFonts w:hint="eastAsia" w:ascii="仿宋_GB2312" w:eastAsia="仿宋_GB2312"/>
          <w:b/>
          <w:bCs/>
          <w:color w:val="auto"/>
          <w:sz w:val="32"/>
          <w:szCs w:val="32"/>
        </w:rPr>
      </w:pPr>
      <w:r>
        <w:rPr>
          <w:rFonts w:ascii="仿宋_GB2312" w:eastAsia="仿宋_GB2312"/>
          <w:b/>
          <w:bCs/>
          <w:color w:val="auto"/>
          <w:sz w:val="32"/>
          <w:szCs w:val="32"/>
        </w:rPr>
        <w:t>依申请公开</w:t>
      </w:r>
    </w:p>
    <w:p>
      <w:pPr>
        <w:pStyle w:val="5"/>
        <w:keepNext w:val="0"/>
        <w:keepLines w:val="0"/>
        <w:widowControl/>
        <w:numPr>
          <w:ilvl w:val="0"/>
          <w:numId w:val="0"/>
        </w:numPr>
        <w:suppressLineNumbers w:val="0"/>
        <w:spacing w:before="0" w:beforeAutospacing="0" w:after="0" w:afterAutospacing="0" w:line="420" w:lineRule="atLeast"/>
        <w:ind w:left="0" w:leftChars="0" w:right="0" w:rightChars="0" w:firstLine="640" w:firstLineChars="200"/>
        <w:jc w:val="left"/>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2022年，市财政局坚决贯彻政府信息公开工作制度，依法依规开展政府信息依申请公开工作，全年共收到依申请公开信息12条，其中：收到邮递依申请公开信息 1 条，信息公开平台依申请公开 11 条，均在规定办理时限内准确答复，办结率100%。</w:t>
      </w:r>
    </w:p>
    <w:p>
      <w:pPr>
        <w:pStyle w:val="5"/>
        <w:keepNext w:val="0"/>
        <w:keepLines w:val="0"/>
        <w:widowControl/>
        <w:numPr>
          <w:ilvl w:val="0"/>
          <w:numId w:val="1"/>
        </w:numPr>
        <w:suppressLineNumbers w:val="0"/>
        <w:spacing w:before="0" w:beforeAutospacing="0" w:after="0" w:afterAutospacing="0" w:line="420" w:lineRule="atLeast"/>
        <w:ind w:left="0" w:leftChars="0" w:right="0" w:firstLine="643" w:firstLineChars="200"/>
        <w:rPr>
          <w:rFonts w:ascii="仿宋_GB2312" w:eastAsia="仿宋_GB2312"/>
          <w:b/>
          <w:bCs/>
          <w:color w:val="auto"/>
          <w:sz w:val="32"/>
          <w:szCs w:val="32"/>
        </w:rPr>
      </w:pPr>
      <w:r>
        <w:rPr>
          <w:rFonts w:ascii="仿宋_GB2312" w:eastAsia="仿宋_GB2312"/>
          <w:b/>
          <w:bCs/>
          <w:color w:val="auto"/>
          <w:sz w:val="32"/>
          <w:szCs w:val="32"/>
        </w:rPr>
        <w:t>政府信息管理</w:t>
      </w:r>
    </w:p>
    <w:p>
      <w:pPr>
        <w:pStyle w:val="5"/>
        <w:keepNext w:val="0"/>
        <w:keepLines w:val="0"/>
        <w:widowControl/>
        <w:numPr>
          <w:ilvl w:val="0"/>
          <w:numId w:val="0"/>
        </w:numPr>
        <w:suppressLineNumbers w:val="0"/>
        <w:spacing w:before="0" w:beforeAutospacing="0" w:after="0" w:afterAutospacing="0" w:line="420" w:lineRule="atLeast"/>
        <w:ind w:left="0" w:leftChars="0" w:right="0" w:rightChars="0" w:firstLine="640" w:firstLineChars="200"/>
        <w:jc w:val="left"/>
        <w:rPr>
          <w:rFonts w:hint="default"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一是依据公文公开属性源头认定规则，按照“谁起草、谁认定，谁审查、谁负责”的原则，对所有公文进行属性认定；二是依据政策解读工作规则，对涉及面广、社会关注度高、专业性强的政策性文件进行深入解读；三是严格信息公开审查，发布的信息由相关科室初审、办公室复审，重要财政信息局领导审定，签署信息公开保密审查单，由对外公共服务科统一发布。</w:t>
      </w:r>
    </w:p>
    <w:p>
      <w:pPr>
        <w:pStyle w:val="5"/>
        <w:keepNext w:val="0"/>
        <w:keepLines w:val="0"/>
        <w:widowControl/>
        <w:numPr>
          <w:ilvl w:val="0"/>
          <w:numId w:val="1"/>
        </w:numPr>
        <w:suppressLineNumbers w:val="0"/>
        <w:spacing w:before="0" w:beforeAutospacing="0" w:after="0" w:afterAutospacing="0" w:line="420" w:lineRule="atLeast"/>
        <w:ind w:left="0" w:leftChars="0" w:right="0" w:firstLine="643" w:firstLineChars="200"/>
        <w:rPr>
          <w:rFonts w:ascii="仿宋_GB2312" w:eastAsia="仿宋_GB2312"/>
          <w:b/>
          <w:bCs/>
          <w:color w:val="auto"/>
          <w:sz w:val="32"/>
          <w:szCs w:val="32"/>
        </w:rPr>
      </w:pP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p>
    <w:p>
      <w:pPr>
        <w:pStyle w:val="5"/>
        <w:keepNext w:val="0"/>
        <w:keepLines w:val="0"/>
        <w:widowControl/>
        <w:numPr>
          <w:ilvl w:val="0"/>
          <w:numId w:val="0"/>
        </w:numPr>
        <w:suppressLineNumbers w:val="0"/>
        <w:spacing w:before="0" w:beforeAutospacing="0" w:after="0" w:afterAutospacing="0" w:line="420" w:lineRule="atLeast"/>
        <w:ind w:left="0" w:leftChars="0" w:right="0" w:rightChars="0" w:firstLine="640" w:firstLineChars="200"/>
        <w:jc w:val="left"/>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政府信息公开主要综合运用单位门户网站、微信公众号、电子宣传屏等多种载体，扩宽政务公开渠道。同时，在市财政局二楼“阳光财政服务平台”设置政务公开查阅点，由专人负责进行政务信息查阅的指导工作，查阅点内放置《财政民生政策公开手册》、《泰安市市直行政事业收费和政府性基金目录手册》、办事指南、法律法规等政府信息，使群众方便查阅、了解政府相关信息，确保公开效果的最大化，最大限度方便群众和企业办事。</w:t>
      </w:r>
    </w:p>
    <w:p>
      <w:pPr>
        <w:pStyle w:val="5"/>
        <w:keepNext w:val="0"/>
        <w:keepLines w:val="0"/>
        <w:widowControl/>
        <w:numPr>
          <w:ilvl w:val="0"/>
          <w:numId w:val="1"/>
        </w:numPr>
        <w:suppressLineNumbers w:val="0"/>
        <w:spacing w:before="0" w:beforeAutospacing="0" w:after="0" w:afterAutospacing="0" w:line="420" w:lineRule="atLeast"/>
        <w:ind w:left="0" w:leftChars="0" w:right="0" w:firstLine="643" w:firstLineChars="200"/>
        <w:rPr>
          <w:rFonts w:ascii="仿宋_GB2312" w:eastAsia="仿宋_GB2312"/>
          <w:b/>
          <w:bCs/>
          <w:color w:val="auto"/>
          <w:sz w:val="32"/>
          <w:szCs w:val="32"/>
        </w:rPr>
      </w:pPr>
      <w:r>
        <w:rPr>
          <w:rFonts w:ascii="仿宋_GB2312" w:eastAsia="仿宋_GB2312"/>
          <w:b/>
          <w:bCs/>
          <w:color w:val="auto"/>
          <w:sz w:val="32"/>
          <w:szCs w:val="32"/>
        </w:rPr>
        <w:t>监督保障</w:t>
      </w:r>
    </w:p>
    <w:p>
      <w:pPr>
        <w:pStyle w:val="5"/>
        <w:keepNext w:val="0"/>
        <w:keepLines w:val="0"/>
        <w:widowControl/>
        <w:numPr>
          <w:ilvl w:val="0"/>
          <w:numId w:val="0"/>
        </w:numPr>
        <w:suppressLineNumbers w:val="0"/>
        <w:spacing w:before="0" w:beforeAutospacing="0" w:after="0" w:afterAutospacing="0" w:line="420" w:lineRule="atLeast"/>
        <w:ind w:left="0" w:leftChars="0" w:right="0" w:rightChars="0" w:firstLine="640" w:firstLineChars="200"/>
        <w:jc w:val="left"/>
        <w:rPr>
          <w:rFonts w:hint="default"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一是根据市财政局主要领导和成员变动，2022年11月28日印发《泰安市财政局关于调整政务公开领导小组的通知》。及时公开调整后的领导及成员，压实工作监管责任，同时明确专职工作人员及政府信息公开工作的经费。</w:t>
      </w:r>
    </w:p>
    <w:p>
      <w:pPr>
        <w:pStyle w:val="5"/>
        <w:keepNext w:val="0"/>
        <w:keepLines w:val="0"/>
        <w:widowControl/>
        <w:numPr>
          <w:ilvl w:val="0"/>
          <w:numId w:val="0"/>
        </w:numPr>
        <w:suppressLineNumbers w:val="0"/>
        <w:spacing w:before="0" w:beforeAutospacing="0" w:after="0" w:afterAutospacing="0" w:line="420" w:lineRule="atLeast"/>
        <w:ind w:left="0" w:leftChars="0" w:right="0" w:rightChars="0" w:firstLine="640" w:firstLineChars="200"/>
        <w:jc w:val="left"/>
        <w:rPr>
          <w:rFonts w:hint="default"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二是制定《泰安市财政局2022年政务公开工作实施方案》，优化内部各科室单位之间的协调配合机制，各业务科室定期向办公室与对外公共服务科报送最新财政政策、预决算数据、办事程序更新等事项，保证财政政策和工作动态及时、准确地向社会公开。</w:t>
      </w:r>
    </w:p>
    <w:p>
      <w:pPr>
        <w:pStyle w:val="5"/>
        <w:keepNext w:val="0"/>
        <w:keepLines w:val="0"/>
        <w:widowControl/>
        <w:numPr>
          <w:ilvl w:val="0"/>
          <w:numId w:val="0"/>
        </w:numPr>
        <w:suppressLineNumbers w:val="0"/>
        <w:spacing w:before="0" w:beforeAutospacing="0" w:after="0" w:afterAutospacing="0" w:line="420" w:lineRule="atLeast"/>
        <w:ind w:left="0" w:leftChars="0" w:right="0" w:rightChars="0" w:firstLine="640" w:firstLineChars="200"/>
        <w:jc w:val="left"/>
        <w:rPr>
          <w:rFonts w:hint="default"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三是市财政局定期举办政务公开培训班，通过培训促进全局工作人员不断加深政务公开认知，夯实工作能力和水平，为今后相关工作更好地开展指明方向、提供遵循。</w:t>
      </w:r>
    </w:p>
    <w:p>
      <w:pPr>
        <w:ind w:firstLine="640" w:firstLineChars="200"/>
        <w:rPr>
          <w:rFonts w:ascii="仿宋_GB2312" w:eastAsia="仿宋_GB2312"/>
          <w:color w:val="auto"/>
          <w:sz w:val="32"/>
          <w:szCs w:val="32"/>
        </w:rPr>
      </w:pP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tbl>
      <w:tblPr>
        <w:tblStyle w:val="6"/>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2</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52"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92"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156</w:t>
            </w:r>
          </w:p>
        </w:tc>
      </w:tr>
    </w:tbl>
    <w:p>
      <w:pPr>
        <w:rPr>
          <w:rFonts w:hint="eastAsia" w:ascii="黑体" w:hAnsi="黑体" w:eastAsia="黑体"/>
          <w:color w:val="auto"/>
          <w:sz w:val="32"/>
          <w:szCs w:val="32"/>
          <w:lang w:val="en-US" w:eastAsia="zh-CN"/>
        </w:rPr>
      </w:pPr>
      <w:bookmarkStart w:id="10" w:name="_GoBack"/>
      <w:bookmarkEnd w:id="10"/>
    </w:p>
    <w:p>
      <w:pPr>
        <w:numPr>
          <w:ilvl w:val="0"/>
          <w:numId w:val="2"/>
        </w:numPr>
        <w:ind w:firstLine="640" w:firstLineChars="200"/>
        <w:rPr>
          <w:rFonts w:ascii="黑体" w:hAnsi="黑体" w:eastAsia="黑体"/>
          <w:color w:val="auto"/>
          <w:sz w:val="32"/>
          <w:szCs w:val="32"/>
        </w:rPr>
      </w:pPr>
      <w:r>
        <w:rPr>
          <w:rFonts w:ascii="黑体" w:hAnsi="黑体" w:eastAsia="黑体"/>
          <w:color w:val="auto"/>
          <w:sz w:val="32"/>
          <w:szCs w:val="32"/>
        </w:rPr>
        <w:t>收到和处理政府信息公开申请情况</w:t>
      </w:r>
    </w:p>
    <w:p>
      <w:pPr>
        <w:numPr>
          <w:numId w:val="0"/>
        </w:numPr>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w:t>
            </w:r>
            <w:bookmarkStart w:id="0" w:name="_Hlk66973412"/>
            <w:r>
              <w:rPr>
                <w:rFonts w:hint="eastAsia" w:ascii="黑体" w:hAnsi="黑体" w:eastAsia="黑体"/>
                <w:color w:val="auto"/>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w:t>
            </w:r>
            <w:bookmarkStart w:id="1" w:name="_Hlk66973981"/>
            <w:r>
              <w:rPr>
                <w:rFonts w:hint="eastAsia" w:ascii="黑体" w:hAnsi="黑体" w:eastAsia="黑体"/>
                <w:color w:val="auto"/>
                <w:kern w:val="0"/>
                <w:szCs w:val="21"/>
              </w:rPr>
              <w:t>区分处理的，只计这一情形，不计其他情形</w:t>
            </w:r>
            <w:bookmarkEnd w:id="1"/>
            <w:r>
              <w:rPr>
                <w:rFonts w:hint="eastAsia" w:ascii="黑体" w:hAnsi="黑体" w:eastAsia="黑体"/>
                <w:color w:val="auto"/>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2" w:name="_Hlk66974104"/>
            <w:r>
              <w:rPr>
                <w:rFonts w:hint="eastAsia" w:ascii="仿宋_GB2312" w:hAnsi="黑体" w:eastAsia="仿宋_GB2312"/>
                <w:color w:val="auto"/>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w:t>
            </w:r>
            <w:bookmarkStart w:id="3" w:name="_Hlk66974290"/>
            <w:r>
              <w:rPr>
                <w:rFonts w:hint="eastAsia" w:ascii="仿宋_GB2312" w:hAnsi="黑体" w:eastAsia="仿宋_GB2312"/>
                <w:color w:val="auto"/>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w:t>
            </w:r>
            <w:bookmarkStart w:id="4" w:name="_Hlk66974555"/>
            <w:r>
              <w:rPr>
                <w:rFonts w:hint="eastAsia" w:ascii="仿宋_GB2312" w:hAnsi="黑体" w:eastAsia="仿宋_GB2312"/>
                <w:color w:val="auto"/>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w:t>
            </w:r>
            <w:bookmarkStart w:id="5" w:name="_Hlk66975211"/>
            <w:r>
              <w:rPr>
                <w:rFonts w:hint="eastAsia" w:ascii="仿宋_GB2312" w:hAnsi="黑体" w:eastAsia="仿宋_GB2312"/>
                <w:color w:val="auto"/>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w:t>
            </w:r>
            <w:bookmarkStart w:id="6" w:name="_Hlk66975392"/>
            <w:r>
              <w:rPr>
                <w:rFonts w:hint="eastAsia" w:ascii="仿宋_GB2312" w:hAnsi="黑体" w:eastAsia="仿宋_GB2312"/>
                <w:color w:val="auto"/>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w:t>
            </w:r>
            <w:bookmarkStart w:id="7" w:name="_Hlk66975466"/>
            <w:r>
              <w:rPr>
                <w:rFonts w:hint="eastAsia" w:ascii="仿宋_GB2312" w:hAnsi="黑体" w:eastAsia="仿宋_GB2312"/>
                <w:color w:val="auto"/>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w:t>
            </w:r>
            <w:bookmarkStart w:id="8" w:name="_Hlk66975537"/>
            <w:r>
              <w:rPr>
                <w:rFonts w:hint="eastAsia" w:ascii="仿宋_GB2312" w:hAnsi="黑体" w:eastAsia="仿宋_GB2312"/>
                <w:color w:val="auto"/>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12</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49" w:leftChars="-71" w:right="-170" w:rightChars="-81"/>
              <w:jc w:val="center"/>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18" w:leftChars="-56" w:right="-118" w:rightChars="-56"/>
              <w:jc w:val="center"/>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color w:val="auto"/>
                <w:kern w:val="0"/>
                <w:sz w:val="20"/>
                <w:szCs w:val="20"/>
              </w:rPr>
            </w:pPr>
            <w:r>
              <w:rPr>
                <w:rFonts w:ascii="黑体" w:hAnsi="黑体" w:eastAsia="黑体"/>
                <w:color w:val="auto"/>
                <w:kern w:val="0"/>
                <w:sz w:val="20"/>
                <w:szCs w:val="20"/>
              </w:rPr>
              <w:t>总</w:t>
            </w:r>
          </w:p>
          <w:p>
            <w:pPr>
              <w:widowControl/>
              <w:spacing w:line="320" w:lineRule="exact"/>
              <w:jc w:val="center"/>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26" w:leftChars="-60" w:right="-136" w:rightChars="-65"/>
              <w:jc w:val="center"/>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color w:val="auto"/>
                <w:kern w:val="0"/>
                <w:sz w:val="20"/>
                <w:szCs w:val="20"/>
              </w:rPr>
            </w:pPr>
            <w:r>
              <w:rPr>
                <w:rFonts w:ascii="黑体" w:hAnsi="黑体" w:eastAsia="黑体"/>
                <w:color w:val="auto"/>
                <w:kern w:val="0"/>
                <w:sz w:val="20"/>
                <w:szCs w:val="20"/>
              </w:rPr>
              <w:t>尚未</w:t>
            </w:r>
          </w:p>
          <w:p>
            <w:pPr>
              <w:widowControl/>
              <w:ind w:left="-164" w:leftChars="-78" w:right="-153" w:rightChars="-73"/>
              <w:jc w:val="center"/>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color w:val="auto"/>
                <w:kern w:val="0"/>
                <w:sz w:val="20"/>
                <w:szCs w:val="20"/>
              </w:rPr>
            </w:pPr>
            <w:r>
              <w:rPr>
                <w:rFonts w:ascii="黑体" w:hAnsi="黑体" w:eastAsia="黑体"/>
                <w:color w:val="auto"/>
                <w:kern w:val="0"/>
                <w:sz w:val="20"/>
                <w:szCs w:val="20"/>
              </w:rPr>
              <w:t>结果</w:t>
            </w:r>
          </w:p>
          <w:p>
            <w:pPr>
              <w:widowControl/>
              <w:ind w:left="-136" w:leftChars="-65" w:right="-124" w:rightChars="-59"/>
              <w:jc w:val="center"/>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color w:val="auto"/>
                <w:kern w:val="0"/>
                <w:sz w:val="20"/>
                <w:szCs w:val="20"/>
              </w:rPr>
            </w:pPr>
            <w:r>
              <w:rPr>
                <w:rFonts w:ascii="黑体" w:hAnsi="黑体" w:eastAsia="黑体"/>
                <w:color w:val="auto"/>
                <w:kern w:val="0"/>
                <w:sz w:val="20"/>
                <w:szCs w:val="20"/>
              </w:rPr>
              <w:t>其他</w:t>
            </w:r>
          </w:p>
          <w:p>
            <w:pPr>
              <w:widowControl/>
              <w:ind w:left="-173" w:leftChars="-83" w:right="-134" w:rightChars="-64" w:hanging="1"/>
              <w:jc w:val="center"/>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pStyle w:val="5"/>
        <w:numPr>
          <w:ilvl w:val="0"/>
          <w:numId w:val="3"/>
        </w:numPr>
        <w:spacing w:before="0" w:beforeAutospacing="0" w:after="0" w:afterAutospacing="0" w:line="600" w:lineRule="exact"/>
        <w:ind w:firstLine="643" w:firstLineChars="200"/>
        <w:jc w:val="both"/>
        <w:rPr>
          <w:rFonts w:ascii="微软雅黑" w:hAnsi="微软雅黑" w:eastAsia="微软雅黑" w:cs="微软雅黑"/>
          <w:b/>
          <w:bCs/>
          <w:i w:val="0"/>
          <w:iCs w:val="0"/>
          <w:caps w:val="0"/>
          <w:color w:val="404040"/>
          <w:spacing w:val="0"/>
          <w:sz w:val="24"/>
          <w:szCs w:val="24"/>
          <w:shd w:val="clear" w:fill="FFFFFF"/>
        </w:rPr>
      </w:pPr>
      <w:r>
        <w:rPr>
          <w:rFonts w:ascii="黑体" w:hAnsi="黑体" w:eastAsia="黑体"/>
          <w:b/>
          <w:bCs/>
          <w:color w:val="auto"/>
          <w:sz w:val="32"/>
          <w:szCs w:val="32"/>
        </w:rPr>
        <w:t>存在的主要问题及改进情况</w:t>
      </w:r>
    </w:p>
    <w:p>
      <w:pPr>
        <w:pStyle w:val="5"/>
        <w:keepNext w:val="0"/>
        <w:keepLines w:val="0"/>
        <w:widowControl/>
        <w:numPr>
          <w:ilvl w:val="0"/>
          <w:numId w:val="0"/>
        </w:numPr>
        <w:suppressLineNumbers w:val="0"/>
        <w:spacing w:before="0" w:beforeAutospacing="0" w:after="0" w:afterAutospacing="0" w:line="420" w:lineRule="atLeast"/>
        <w:ind w:left="0" w:leftChars="0" w:right="0" w:rightChars="0" w:firstLine="480" w:firstLineChars="200"/>
        <w:jc w:val="left"/>
        <w:rPr>
          <w:rFonts w:hint="eastAsia" w:ascii="仿宋_GB2312" w:hAnsi="Calibri" w:eastAsia="仿宋_GB2312" w:cs="Times New Roman"/>
          <w:color w:val="auto"/>
          <w:kern w:val="0"/>
          <w:sz w:val="32"/>
          <w:szCs w:val="32"/>
          <w:lang w:val="en-US" w:eastAsia="zh-CN" w:bidi="ar-SA"/>
        </w:rPr>
      </w:pPr>
      <w:r>
        <w:rPr>
          <w:rFonts w:ascii="微软雅黑" w:hAnsi="微软雅黑" w:eastAsia="微软雅黑" w:cs="微软雅黑"/>
          <w:i w:val="0"/>
          <w:iCs w:val="0"/>
          <w:caps w:val="0"/>
          <w:color w:val="404040"/>
          <w:spacing w:val="0"/>
          <w:sz w:val="24"/>
          <w:szCs w:val="24"/>
          <w:shd w:val="clear" w:fill="FFFFFF"/>
        </w:rPr>
        <w:t> </w:t>
      </w:r>
      <w:r>
        <w:rPr>
          <w:rFonts w:ascii="仿宋_GB2312" w:hAnsi="仿宋_GB2312" w:eastAsia="仿宋_GB2312" w:cs="仿宋_GB2312"/>
          <w:i w:val="0"/>
          <w:iCs w:val="0"/>
          <w:caps w:val="0"/>
          <w:color w:val="333333"/>
          <w:spacing w:val="0"/>
          <w:sz w:val="32"/>
          <w:szCs w:val="32"/>
          <w:shd w:val="clear" w:fill="FFFFFF"/>
        </w:rPr>
        <w:t>  </w:t>
      </w:r>
      <w:r>
        <w:rPr>
          <w:rFonts w:hint="eastAsia" w:ascii="仿宋_GB2312" w:hAnsi="Calibri" w:eastAsia="仿宋_GB2312" w:cs="Times New Roman"/>
          <w:color w:val="auto"/>
          <w:kern w:val="0"/>
          <w:sz w:val="32"/>
          <w:szCs w:val="32"/>
          <w:lang w:val="en-US" w:eastAsia="zh-CN" w:bidi="ar-SA"/>
        </w:rPr>
        <w:t xml:space="preserve">  2022年，我局政府信息公开工作取得了一定的成效，但仍存在一些问题和不足。主要表现在：一是门户网站主动公开信息更新维护时间跨度较长，信息公开时效性还需进一步提升；二是对重大政策的解读能力还有待提升，内容和形式还不够丰富；三是向公众征求意见建议的信息有限，汇集民智的方式、途径还有待增加。</w:t>
      </w:r>
    </w:p>
    <w:p>
      <w:pPr>
        <w:pStyle w:val="5"/>
        <w:keepNext w:val="0"/>
        <w:keepLines w:val="0"/>
        <w:widowControl/>
        <w:numPr>
          <w:ilvl w:val="0"/>
          <w:numId w:val="0"/>
        </w:numPr>
        <w:suppressLineNumbers w:val="0"/>
        <w:spacing w:before="0" w:beforeAutospacing="0" w:after="0" w:afterAutospacing="0" w:line="420" w:lineRule="atLeast"/>
        <w:ind w:left="0" w:leftChars="0" w:right="0" w:rightChars="0" w:firstLine="640" w:firstLineChars="200"/>
        <w:jc w:val="left"/>
        <w:rPr>
          <w:rFonts w:ascii="仿宋_GB2312" w:hAnsi="仿宋_GB2312" w:eastAsia="仿宋_GB2312" w:cs="仿宋_GB2312"/>
          <w:i w:val="0"/>
          <w:iCs w:val="0"/>
          <w:caps w:val="0"/>
          <w:color w:val="333333"/>
          <w:spacing w:val="0"/>
          <w:sz w:val="32"/>
          <w:szCs w:val="32"/>
          <w:shd w:val="clear" w:fill="FFFFFF"/>
        </w:rPr>
      </w:pPr>
      <w:r>
        <w:rPr>
          <w:rFonts w:hint="eastAsia" w:ascii="仿宋_GB2312" w:hAnsi="Calibri" w:eastAsia="仿宋_GB2312" w:cs="Times New Roman"/>
          <w:color w:val="auto"/>
          <w:kern w:val="0"/>
          <w:sz w:val="32"/>
          <w:szCs w:val="32"/>
          <w:lang w:val="en-US" w:eastAsia="zh-CN" w:bidi="ar-SA"/>
        </w:rPr>
        <w:t xml:space="preserve">   </w:t>
      </w:r>
      <w:r>
        <w:rPr>
          <w:rFonts w:hint="default" w:ascii="仿宋_GB2312" w:hAnsi="Calibri" w:eastAsia="仿宋_GB2312" w:cs="Times New Roman"/>
          <w:color w:val="auto"/>
          <w:kern w:val="0"/>
          <w:sz w:val="32"/>
          <w:szCs w:val="32"/>
          <w:lang w:val="en-US" w:eastAsia="zh-CN" w:bidi="ar-SA"/>
        </w:rPr>
        <w:t> 针对这些问题，202</w:t>
      </w:r>
      <w:r>
        <w:rPr>
          <w:rFonts w:hint="eastAsia" w:ascii="仿宋_GB2312" w:hAnsi="Calibri" w:eastAsia="仿宋_GB2312" w:cs="Times New Roman"/>
          <w:color w:val="auto"/>
          <w:kern w:val="0"/>
          <w:sz w:val="32"/>
          <w:szCs w:val="32"/>
          <w:lang w:val="en-US" w:eastAsia="zh-CN" w:bidi="ar-SA"/>
        </w:rPr>
        <w:t>3</w:t>
      </w:r>
      <w:r>
        <w:rPr>
          <w:rFonts w:hint="default" w:ascii="仿宋_GB2312" w:hAnsi="Calibri" w:eastAsia="仿宋_GB2312" w:cs="Times New Roman"/>
          <w:color w:val="auto"/>
          <w:kern w:val="0"/>
          <w:sz w:val="32"/>
          <w:szCs w:val="32"/>
          <w:lang w:val="en-US" w:eastAsia="zh-CN" w:bidi="ar-SA"/>
        </w:rPr>
        <w:t>年我们将采取以下措施加以改进：一是对信息公开工作执行情况及时检查，确保信息发布的时效和质量</w:t>
      </w:r>
      <w:r>
        <w:rPr>
          <w:rFonts w:hint="eastAsia" w:ascii="仿宋_GB2312" w:hAnsi="Calibri" w:eastAsia="仿宋_GB2312" w:cs="Times New Roman"/>
          <w:color w:val="auto"/>
          <w:kern w:val="0"/>
          <w:sz w:val="32"/>
          <w:szCs w:val="32"/>
          <w:lang w:val="en-US" w:eastAsia="zh-CN" w:bidi="ar-SA"/>
        </w:rPr>
        <w:t>；</w:t>
      </w:r>
      <w:r>
        <w:rPr>
          <w:rFonts w:hint="default" w:ascii="仿宋_GB2312" w:hAnsi="Calibri" w:eastAsia="仿宋_GB2312" w:cs="Times New Roman"/>
          <w:color w:val="auto"/>
          <w:kern w:val="0"/>
          <w:sz w:val="32"/>
          <w:szCs w:val="32"/>
          <w:lang w:val="en-US" w:eastAsia="zh-CN" w:bidi="ar-SA"/>
        </w:rPr>
        <w:t>二是充分运用多种媒介和形式，加大政策解读力度，提高政策解读的针对性、科学性和有效性</w:t>
      </w:r>
      <w:r>
        <w:rPr>
          <w:rFonts w:hint="eastAsia" w:ascii="仿宋_GB2312" w:hAnsi="Calibri" w:eastAsia="仿宋_GB2312" w:cs="Times New Roman"/>
          <w:color w:val="auto"/>
          <w:kern w:val="0"/>
          <w:sz w:val="32"/>
          <w:szCs w:val="32"/>
          <w:lang w:val="en-US" w:eastAsia="zh-CN" w:bidi="ar-SA"/>
        </w:rPr>
        <w:t>；三是进一步提高政府信息公开工作质量，加强基础信息和重点领域信息公开，充分听取</w:t>
      </w:r>
      <w:r>
        <w:rPr>
          <w:rFonts w:hint="default" w:ascii="仿宋_GB2312" w:hAnsi="Calibri" w:eastAsia="仿宋_GB2312" w:cs="Times New Roman"/>
          <w:color w:val="auto"/>
          <w:kern w:val="0"/>
          <w:sz w:val="32"/>
          <w:szCs w:val="32"/>
          <w:lang w:val="en-US" w:eastAsia="zh-CN" w:bidi="ar-SA"/>
        </w:rPr>
        <w:t>公众的意见和建议</w:t>
      </w:r>
      <w:r>
        <w:rPr>
          <w:rFonts w:hint="eastAsia" w:ascii="仿宋_GB2312" w:hAnsi="Calibri" w:eastAsia="仿宋_GB2312" w:cs="Times New Roman"/>
          <w:color w:val="auto"/>
          <w:kern w:val="0"/>
          <w:sz w:val="32"/>
          <w:szCs w:val="32"/>
          <w:lang w:val="en-US" w:eastAsia="zh-CN" w:bidi="ar-SA"/>
        </w:rPr>
        <w:t>，探索创新政府信息公开形式。</w:t>
      </w:r>
    </w:p>
    <w:p>
      <w:pPr>
        <w:pStyle w:val="5"/>
        <w:numPr>
          <w:ilvl w:val="0"/>
          <w:numId w:val="3"/>
        </w:numPr>
        <w:spacing w:before="0" w:beforeAutospacing="0" w:after="0" w:afterAutospacing="0" w:line="600" w:lineRule="exact"/>
        <w:ind w:left="0" w:leftChars="0" w:firstLine="640" w:firstLineChars="200"/>
        <w:jc w:val="both"/>
        <w:rPr>
          <w:rFonts w:ascii="黑体" w:hAnsi="黑体" w:eastAsia="黑体"/>
          <w:color w:val="auto"/>
          <w:sz w:val="32"/>
          <w:szCs w:val="32"/>
        </w:rPr>
      </w:pPr>
      <w:r>
        <w:rPr>
          <w:rFonts w:ascii="黑体" w:hAnsi="黑体" w:eastAsia="黑体"/>
          <w:color w:val="auto"/>
          <w:sz w:val="32"/>
          <w:szCs w:val="32"/>
        </w:rPr>
        <w:t>其他需要报告的事项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5" w:right="0" w:firstLine="0"/>
        <w:rPr>
          <w:rStyle w:val="8"/>
          <w:rFonts w:hint="eastAsia" w:ascii="华文仿宋" w:hAnsi="华文仿宋" w:eastAsia="华文仿宋" w:cs="华文仿宋"/>
          <w:i w:val="0"/>
          <w:iCs w:val="0"/>
          <w:caps w:val="0"/>
          <w:color w:val="333333"/>
          <w:spacing w:val="0"/>
          <w:sz w:val="31"/>
          <w:szCs w:val="31"/>
        </w:rPr>
      </w:pPr>
      <w:r>
        <w:rPr>
          <w:rStyle w:val="8"/>
          <w:rFonts w:hint="eastAsia" w:ascii="华文仿宋" w:hAnsi="华文仿宋" w:eastAsia="华文仿宋" w:cs="华文仿宋"/>
          <w:i w:val="0"/>
          <w:iCs w:val="0"/>
          <w:caps w:val="0"/>
          <w:color w:val="333333"/>
          <w:spacing w:val="0"/>
          <w:sz w:val="31"/>
          <w:szCs w:val="31"/>
        </w:rPr>
        <w:t>1</w:t>
      </w:r>
      <w:r>
        <w:rPr>
          <w:rStyle w:val="8"/>
          <w:rFonts w:hint="eastAsia" w:ascii="华文仿宋" w:hAnsi="华文仿宋" w:eastAsia="华文仿宋" w:cs="华文仿宋"/>
          <w:i w:val="0"/>
          <w:iCs w:val="0"/>
          <w:caps w:val="0"/>
          <w:color w:val="333333"/>
          <w:spacing w:val="0"/>
          <w:sz w:val="31"/>
          <w:szCs w:val="31"/>
          <w:lang w:eastAsia="zh-CN"/>
        </w:rPr>
        <w:t>、</w:t>
      </w:r>
      <w:r>
        <w:rPr>
          <w:rStyle w:val="8"/>
          <w:rFonts w:hint="eastAsia" w:ascii="华文仿宋" w:hAnsi="华文仿宋" w:eastAsia="华文仿宋" w:cs="华文仿宋"/>
          <w:i w:val="0"/>
          <w:iCs w:val="0"/>
          <w:caps w:val="0"/>
          <w:color w:val="333333"/>
          <w:spacing w:val="0"/>
          <w:sz w:val="31"/>
          <w:szCs w:val="31"/>
        </w:rPr>
        <w:t>收取信息处理费的情况</w:t>
      </w:r>
    </w:p>
    <w:p>
      <w:pPr>
        <w:pStyle w:val="5"/>
        <w:keepNext w:val="0"/>
        <w:keepLines w:val="0"/>
        <w:widowControl/>
        <w:suppressLineNumbers w:val="0"/>
        <w:spacing w:before="0" w:beforeAutospacing="0" w:after="0" w:afterAutospacing="0" w:line="420" w:lineRule="atLeast"/>
        <w:ind w:left="0" w:right="0" w:firstLine="645"/>
        <w:rPr>
          <w:rFonts w:hint="eastAsia" w:ascii="仿宋" w:hAnsi="仿宋" w:eastAsia="仿宋" w:cs="仿宋"/>
          <w:i w:val="0"/>
          <w:iCs w:val="0"/>
          <w:caps w:val="0"/>
          <w:color w:val="000000"/>
          <w:spacing w:val="0"/>
          <w:sz w:val="31"/>
          <w:szCs w:val="31"/>
          <w:shd w:val="clear" w:fill="FFFFFF"/>
        </w:rPr>
      </w:pPr>
      <w:r>
        <w:rPr>
          <w:rFonts w:hint="eastAsia" w:ascii="仿宋_GB2312" w:hAnsi="Calibri" w:eastAsia="仿宋_GB2312" w:cs="Times New Roman"/>
          <w:color w:val="auto"/>
          <w:kern w:val="0"/>
          <w:sz w:val="32"/>
          <w:szCs w:val="32"/>
          <w:lang w:val="en-US" w:eastAsia="zh-CN" w:bidi="ar-SA"/>
        </w:rPr>
        <w:t>依据《政府信息公开信息处理费管理办法》《山东省人民政府办公厅关于做好政府信息公开信息处理费管理工作有关事项的通知》，本年度没有产生信息公开处理费。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5" w:right="0" w:firstLine="0"/>
        <w:rPr>
          <w:rFonts w:hint="default" w:ascii="sans-serif" w:hAnsi="sans-serif" w:eastAsia="sans-serif" w:cs="sans-serif"/>
          <w:i w:val="0"/>
          <w:iCs w:val="0"/>
          <w:caps w:val="0"/>
          <w:color w:val="000000"/>
          <w:spacing w:val="0"/>
          <w:sz w:val="24"/>
          <w:szCs w:val="24"/>
        </w:rPr>
      </w:pPr>
      <w:r>
        <w:rPr>
          <w:rStyle w:val="8"/>
          <w:rFonts w:hint="eastAsia" w:ascii="华文仿宋" w:hAnsi="华文仿宋" w:eastAsia="华文仿宋" w:cs="华文仿宋"/>
          <w:i w:val="0"/>
          <w:iCs w:val="0"/>
          <w:caps w:val="0"/>
          <w:color w:val="333333"/>
          <w:spacing w:val="0"/>
          <w:sz w:val="31"/>
          <w:szCs w:val="31"/>
          <w:lang w:val="en-US" w:eastAsia="zh-CN"/>
        </w:rPr>
        <w:t>2、</w:t>
      </w:r>
      <w:r>
        <w:rPr>
          <w:rStyle w:val="8"/>
          <w:rFonts w:hint="eastAsia" w:ascii="华文仿宋" w:hAnsi="华文仿宋" w:eastAsia="华文仿宋" w:cs="华文仿宋"/>
          <w:i w:val="0"/>
          <w:iCs w:val="0"/>
          <w:caps w:val="0"/>
          <w:color w:val="333333"/>
          <w:spacing w:val="0"/>
          <w:sz w:val="31"/>
          <w:szCs w:val="31"/>
        </w:rPr>
        <w:t>落实上级年度政务公开工作要点情况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2022年我局高度重视政务公开工作，把政务公开工作摆上重要议事日程，与财政工作同研究、同部署、同考核，并进一步明确责任，充分发挥政务公开领导小组作用。做到主要领导亲自抓，分管领导直接抓，每个公开板块具体责任明确到科室和个人，确保政务公开工作有序、责任落实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Fonts w:hint="default" w:ascii="sans-serif" w:hAnsi="sans-serif" w:eastAsia="sans-serif" w:cs="sans-serif"/>
          <w:i w:val="0"/>
          <w:iCs w:val="0"/>
          <w:caps w:val="0"/>
          <w:color w:val="000000"/>
          <w:spacing w:val="0"/>
          <w:sz w:val="24"/>
          <w:szCs w:val="24"/>
        </w:rPr>
      </w:pPr>
      <w:r>
        <w:rPr>
          <w:rStyle w:val="8"/>
          <w:rFonts w:hint="eastAsia" w:ascii="华文仿宋" w:hAnsi="华文仿宋" w:eastAsia="华文仿宋" w:cs="华文仿宋"/>
          <w:i w:val="0"/>
          <w:iCs w:val="0"/>
          <w:caps w:val="0"/>
          <w:color w:val="333333"/>
          <w:spacing w:val="0"/>
          <w:sz w:val="31"/>
          <w:szCs w:val="31"/>
          <w:lang w:val="en-US" w:eastAsia="zh-CN"/>
        </w:rPr>
        <w:t>3</w:t>
      </w:r>
      <w:r>
        <w:rPr>
          <w:rStyle w:val="8"/>
          <w:rFonts w:hint="eastAsia" w:ascii="华文仿宋" w:hAnsi="华文仿宋" w:eastAsia="华文仿宋" w:cs="华文仿宋"/>
          <w:i w:val="0"/>
          <w:iCs w:val="0"/>
          <w:caps w:val="0"/>
          <w:color w:val="333333"/>
          <w:spacing w:val="0"/>
          <w:sz w:val="31"/>
          <w:szCs w:val="31"/>
        </w:rPr>
        <w:t>、本行政机关人大代表建议和政协提案办理结果公开情况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default" w:ascii="仿宋" w:hAnsi="仿宋" w:eastAsia="仿宋" w:cs="仿宋"/>
          <w:i w:val="0"/>
          <w:iCs w:val="0"/>
          <w:caps w:val="0"/>
          <w:color w:val="494949"/>
          <w:spacing w:val="0"/>
          <w:sz w:val="31"/>
          <w:szCs w:val="31"/>
          <w:shd w:val="clear" w:fill="FFFFFF"/>
        </w:rPr>
      </w:pPr>
      <w:r>
        <w:rPr>
          <w:rFonts w:hint="eastAsia" w:ascii="仿宋_GB2312" w:hAnsi="Calibri" w:eastAsia="仿宋_GB2312" w:cs="Times New Roman"/>
          <w:color w:val="auto"/>
          <w:kern w:val="0"/>
          <w:sz w:val="32"/>
          <w:szCs w:val="32"/>
          <w:lang w:val="en-US" w:eastAsia="zh-CN" w:bidi="ar-SA"/>
        </w:rPr>
        <w:t>2022年，市财政局共承办人大代表建议</w:t>
      </w:r>
      <w:r>
        <w:rPr>
          <w:rFonts w:hint="default" w:ascii="仿宋_GB2312" w:hAnsi="Calibri" w:eastAsia="仿宋_GB2312" w:cs="Times New Roman"/>
          <w:color w:val="auto"/>
          <w:kern w:val="0"/>
          <w:sz w:val="32"/>
          <w:szCs w:val="32"/>
          <w:lang w:val="en-US" w:eastAsia="zh-CN" w:bidi="ar-SA"/>
        </w:rPr>
        <w:t>19件（其中：主办7件，会办12件）</w:t>
      </w:r>
      <w:r>
        <w:rPr>
          <w:rFonts w:hint="eastAsia" w:ascii="仿宋_GB2312" w:hAnsi="Calibri" w:eastAsia="仿宋_GB2312" w:cs="Times New Roman"/>
          <w:color w:val="auto"/>
          <w:kern w:val="0"/>
          <w:sz w:val="32"/>
          <w:szCs w:val="32"/>
          <w:lang w:val="en-US" w:eastAsia="zh-CN" w:bidi="ar-SA"/>
        </w:rPr>
        <w:t>，</w:t>
      </w:r>
      <w:r>
        <w:rPr>
          <w:rFonts w:hint="default" w:ascii="仿宋_GB2312" w:hAnsi="Calibri" w:eastAsia="仿宋_GB2312" w:cs="Times New Roman"/>
          <w:color w:val="auto"/>
          <w:kern w:val="0"/>
          <w:sz w:val="32"/>
          <w:szCs w:val="32"/>
          <w:lang w:val="en-US" w:eastAsia="zh-CN" w:bidi="ar-SA"/>
        </w:rPr>
        <w:t>内容涉及减税降费、乡村振兴、对上争取、老旧小区改造等方面。目前，相关建议已全部办理完毕，主办件已按照市政府对人大代表建议办理要求进行面复，按期答复率、面复率和满意率均达到了100%</w:t>
      </w:r>
      <w:r>
        <w:rPr>
          <w:rFonts w:hint="eastAsia" w:ascii="仿宋_GB2312" w:hAnsi="Calibri" w:eastAsia="仿宋_GB2312" w:cs="Times New Roman"/>
          <w:color w:val="auto"/>
          <w:kern w:val="0"/>
          <w:sz w:val="32"/>
          <w:szCs w:val="32"/>
          <w:lang w:val="en-US" w:eastAsia="zh-CN" w:bidi="ar-SA"/>
        </w:rPr>
        <w:t>；共承办政协提案</w:t>
      </w:r>
      <w:r>
        <w:rPr>
          <w:rFonts w:hint="default" w:ascii="仿宋_GB2312" w:hAnsi="Calibri" w:eastAsia="仿宋_GB2312" w:cs="Times New Roman"/>
          <w:color w:val="auto"/>
          <w:kern w:val="0"/>
          <w:sz w:val="32"/>
          <w:szCs w:val="32"/>
          <w:lang w:val="en-US" w:eastAsia="zh-CN" w:bidi="ar-SA"/>
        </w:rPr>
        <w:t>39件（其中：主办3件，会办36件）</w:t>
      </w:r>
      <w:r>
        <w:rPr>
          <w:rFonts w:hint="eastAsia" w:ascii="仿宋_GB2312" w:hAnsi="Calibri" w:eastAsia="仿宋_GB2312" w:cs="Times New Roman"/>
          <w:color w:val="auto"/>
          <w:kern w:val="0"/>
          <w:sz w:val="32"/>
          <w:szCs w:val="32"/>
          <w:lang w:val="en-US" w:eastAsia="zh-CN" w:bidi="ar-SA"/>
        </w:rPr>
        <w:t>，</w:t>
      </w:r>
      <w:r>
        <w:rPr>
          <w:rFonts w:hint="default" w:ascii="仿宋_GB2312" w:hAnsi="Calibri" w:eastAsia="仿宋_GB2312" w:cs="Times New Roman"/>
          <w:color w:val="auto"/>
          <w:kern w:val="0"/>
          <w:sz w:val="32"/>
          <w:szCs w:val="32"/>
          <w:lang w:val="en-US" w:eastAsia="zh-CN" w:bidi="ar-SA"/>
        </w:rPr>
        <w:t>内容涉及美丽乡村、公共卫生服务体系建设、环境保护、稳就业等方面。目前，相关政协提案已全部办理完毕，主办件已按照市政府对政协提案办理要求进行面复，按期答复率、面复率和满意率均达到了100%。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rStyle w:val="8"/>
          <w:rFonts w:hint="eastAsia" w:ascii="华文仿宋" w:hAnsi="华文仿宋" w:eastAsia="华文仿宋" w:cs="华文仿宋"/>
          <w:i w:val="0"/>
          <w:iCs w:val="0"/>
          <w:caps w:val="0"/>
          <w:color w:val="333333"/>
          <w:spacing w:val="0"/>
          <w:sz w:val="31"/>
          <w:szCs w:val="31"/>
          <w:lang w:val="en-US" w:eastAsia="zh-CN"/>
        </w:rPr>
      </w:pPr>
      <w:r>
        <w:rPr>
          <w:rStyle w:val="8"/>
          <w:rFonts w:hint="eastAsia" w:ascii="华文仿宋" w:hAnsi="华文仿宋" w:eastAsia="华文仿宋" w:cs="华文仿宋"/>
          <w:i w:val="0"/>
          <w:iCs w:val="0"/>
          <w:caps w:val="0"/>
          <w:color w:val="333333"/>
          <w:spacing w:val="0"/>
          <w:sz w:val="31"/>
          <w:szCs w:val="31"/>
          <w:lang w:val="en-US" w:eastAsia="zh-CN"/>
        </w:rPr>
        <w:t>4、本行政机关年度政务公开工作创新情况；</w:t>
      </w:r>
    </w:p>
    <w:p>
      <w:pPr>
        <w:numPr>
          <w:ilvl w:val="0"/>
          <w:numId w:val="0"/>
        </w:numPr>
        <w:adjustRightInd w:val="0"/>
        <w:snapToGrid w:val="0"/>
        <w:spacing w:line="600" w:lineRule="exact"/>
        <w:ind w:firstLine="640" w:firstLineChars="200"/>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一）坚持分类施策。一是加强内部管控，起草文件时，明确主动公开、依申请公开、不予公开等属性，随文件一并审批。二是实时解读政策，按照“谁起草、谁解读”的原则，实时组织政策发布会，通过新闻媒体对我局起草的政策性文件做好解读及关联发布工作。</w:t>
      </w:r>
    </w:p>
    <w:p>
      <w:pPr>
        <w:numPr>
          <w:ilvl w:val="0"/>
          <w:numId w:val="0"/>
        </w:numPr>
        <w:adjustRightInd w:val="0"/>
        <w:snapToGrid w:val="0"/>
        <w:spacing w:line="600" w:lineRule="exact"/>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 xml:space="preserve">    （二）规范公开内容。一是结合法定主动公开内容，进一步充实完善局主动公开目录，分门别类发布信息，方便公民、法人和其他组织进行查阅；二是开设“法治财政”“预算绩效”“减税降费”等业务专栏，增强了信息公开实效。</w:t>
      </w:r>
    </w:p>
    <w:p>
      <w:pPr>
        <w:pStyle w:val="5"/>
        <w:numPr>
          <w:ilvl w:val="0"/>
          <w:numId w:val="0"/>
        </w:numPr>
        <w:spacing w:before="0" w:beforeAutospacing="0" w:after="0" w:afterAutospacing="0" w:line="600" w:lineRule="exact"/>
        <w:jc w:val="both"/>
        <w:rPr>
          <w:rFonts w:ascii="仿宋_GB2312" w:eastAsia="仿宋_GB2312"/>
          <w:color w:val="auto"/>
          <w:sz w:val="32"/>
          <w:szCs w:val="32"/>
        </w:rPr>
      </w:pPr>
    </w:p>
    <w:p>
      <w:pPr>
        <w:ind w:firstLine="640" w:firstLineChars="200"/>
        <w:rPr>
          <w:rFonts w:ascii="仿宋_GB2312" w:eastAsia="仿宋_GB2312"/>
          <w:color w:val="auto"/>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50099"/>
    <w:multiLevelType w:val="singleLevel"/>
    <w:tmpl w:val="81950099"/>
    <w:lvl w:ilvl="0" w:tentative="0">
      <w:start w:val="5"/>
      <w:numFmt w:val="chineseCounting"/>
      <w:suff w:val="nothing"/>
      <w:lvlText w:val="%1、"/>
      <w:lvlJc w:val="left"/>
      <w:rPr>
        <w:rFonts w:hint="eastAsia"/>
      </w:rPr>
    </w:lvl>
  </w:abstractNum>
  <w:abstractNum w:abstractNumId="1">
    <w:nsid w:val="EEC73BFD"/>
    <w:multiLevelType w:val="singleLevel"/>
    <w:tmpl w:val="EEC73BFD"/>
    <w:lvl w:ilvl="0" w:tentative="0">
      <w:start w:val="1"/>
      <w:numFmt w:val="decimal"/>
      <w:lvlText w:val="%1."/>
      <w:lvlJc w:val="left"/>
      <w:pPr>
        <w:tabs>
          <w:tab w:val="left" w:pos="312"/>
        </w:tabs>
      </w:pPr>
    </w:lvl>
  </w:abstractNum>
  <w:abstractNum w:abstractNumId="2">
    <w:nsid w:val="33966458"/>
    <w:multiLevelType w:val="singleLevel"/>
    <w:tmpl w:val="33966458"/>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zEwMmRkZWU4MDQyNTc3N2VkYThiMDQ3OWJhZjkifQ=="/>
  </w:docVars>
  <w:rsids>
    <w:rsidRoot w:val="009036FB"/>
    <w:rsid w:val="003F5380"/>
    <w:rsid w:val="005F04B3"/>
    <w:rsid w:val="007043DD"/>
    <w:rsid w:val="00725311"/>
    <w:rsid w:val="007C0E41"/>
    <w:rsid w:val="008260F2"/>
    <w:rsid w:val="008510D4"/>
    <w:rsid w:val="008E79FC"/>
    <w:rsid w:val="009036FB"/>
    <w:rsid w:val="00A6635A"/>
    <w:rsid w:val="00A935C0"/>
    <w:rsid w:val="04624A99"/>
    <w:rsid w:val="04661011"/>
    <w:rsid w:val="04BD1BA7"/>
    <w:rsid w:val="04FF69B3"/>
    <w:rsid w:val="0BE44893"/>
    <w:rsid w:val="0C197EFD"/>
    <w:rsid w:val="0C886EAB"/>
    <w:rsid w:val="118F7958"/>
    <w:rsid w:val="135935C3"/>
    <w:rsid w:val="153C0E2B"/>
    <w:rsid w:val="170B3CAC"/>
    <w:rsid w:val="17600C4E"/>
    <w:rsid w:val="1E5601BB"/>
    <w:rsid w:val="20315E0F"/>
    <w:rsid w:val="20792A83"/>
    <w:rsid w:val="21537630"/>
    <w:rsid w:val="281854C6"/>
    <w:rsid w:val="283D0195"/>
    <w:rsid w:val="2D126E0D"/>
    <w:rsid w:val="2ED9699B"/>
    <w:rsid w:val="31473E7A"/>
    <w:rsid w:val="318E1295"/>
    <w:rsid w:val="33FD3622"/>
    <w:rsid w:val="364F21ED"/>
    <w:rsid w:val="372142C2"/>
    <w:rsid w:val="388A4CBC"/>
    <w:rsid w:val="3BF75330"/>
    <w:rsid w:val="3CB5591A"/>
    <w:rsid w:val="468B3F91"/>
    <w:rsid w:val="4E2F67D9"/>
    <w:rsid w:val="50CD4459"/>
    <w:rsid w:val="51C331E3"/>
    <w:rsid w:val="540366B0"/>
    <w:rsid w:val="59186333"/>
    <w:rsid w:val="5AED1B28"/>
    <w:rsid w:val="5EEDC3F8"/>
    <w:rsid w:val="60DA1397"/>
    <w:rsid w:val="635D0996"/>
    <w:rsid w:val="65FF0DA3"/>
    <w:rsid w:val="66242B32"/>
    <w:rsid w:val="671F2A18"/>
    <w:rsid w:val="6D876F5F"/>
    <w:rsid w:val="6FBA1CF3"/>
    <w:rsid w:val="703C1AAF"/>
    <w:rsid w:val="72975EC3"/>
    <w:rsid w:val="7A387F61"/>
    <w:rsid w:val="7E5C8C4E"/>
    <w:rsid w:val="7F3F70A9"/>
    <w:rsid w:val="7FFEDE2F"/>
    <w:rsid w:val="8FBBA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rPr>
  </w:style>
  <w:style w:type="character" w:styleId="9">
    <w:name w:val="Emphasis"/>
    <w:basedOn w:val="7"/>
    <w:qFormat/>
    <w:uiPriority w:val="20"/>
    <w:rPr>
      <w:i/>
    </w:rPr>
  </w:style>
  <w:style w:type="character" w:styleId="10">
    <w:name w:val="Hyperlink"/>
    <w:basedOn w:val="7"/>
    <w:qFormat/>
    <w:uiPriority w:val="0"/>
    <w:rPr>
      <w:color w:val="0000FF"/>
      <w:u w:val="single"/>
    </w:rPr>
  </w:style>
  <w:style w:type="character" w:customStyle="1" w:styleId="11">
    <w:name w:val="页眉 字符"/>
    <w:basedOn w:val="7"/>
    <w:link w:val="4"/>
    <w:semiHidden/>
    <w:qFormat/>
    <w:uiPriority w:val="99"/>
    <w:rPr>
      <w:sz w:val="18"/>
      <w:szCs w:val="18"/>
    </w:rPr>
  </w:style>
  <w:style w:type="character" w:customStyle="1" w:styleId="12">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8</Pages>
  <Words>3251</Words>
  <Characters>3347</Characters>
  <Lines>30</Lines>
  <Paragraphs>8</Paragraphs>
  <TotalTime>9</TotalTime>
  <ScaleCrop>false</ScaleCrop>
  <LinksUpToDate>false</LinksUpToDate>
  <CharactersWithSpaces>3378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2020-01-06T18:42:00Z</dcterms:created>
  <dc:creator>Administrator</dc:creator>
  <cp:lastModifiedBy>lenovo</cp:lastModifiedBy>
  <cp:lastPrinted>2023-01-28T06:44:00Z</cp:lastPrinted>
  <dcterms:modified xsi:type="dcterms:W3CDTF">2023-01-28T08:32:26Z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54B52495AE2F41508E1C0B4F060A70D9</vt:lpwstr>
  </property>
</Properties>
</file>