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rFonts w:ascii="微软雅黑" w:hAnsi="微软雅黑" w:eastAsia="微软雅黑" w:cs="微软雅黑"/>
          <w:b/>
          <w:bCs/>
          <w:i w:val="0"/>
          <w:iCs w:val="0"/>
          <w:caps w:val="0"/>
          <w:color w:val="000000" w:themeColor="text1"/>
          <w:spacing w:val="0"/>
          <w:sz w:val="48"/>
          <w:szCs w:val="48"/>
          <w14:textFill>
            <w14:solidFill>
              <w14:schemeClr w14:val="tx1"/>
            </w14:solidFill>
          </w14:textFill>
        </w:rPr>
      </w:pPr>
      <w:bookmarkStart w:id="0" w:name="_GoBack"/>
      <w:r>
        <w:rPr>
          <w:rFonts w:ascii="微软雅黑" w:hAnsi="微软雅黑" w:eastAsia="微软雅黑" w:cs="微软雅黑"/>
          <w:b/>
          <w:bCs/>
          <w:i w:val="0"/>
          <w:iCs w:val="0"/>
          <w:caps w:val="0"/>
          <w:color w:val="000000" w:themeColor="text1"/>
          <w:spacing w:val="0"/>
          <w:sz w:val="48"/>
          <w:szCs w:val="48"/>
          <w14:textFill>
            <w14:solidFill>
              <w14:schemeClr w14:val="tx1"/>
            </w14:solidFill>
          </w14:textFill>
        </w:rPr>
        <w:t>泰安市财政局2021年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rFonts w:ascii="仿宋" w:hAnsi="仿宋" w:eastAsia="仿宋" w:cs="仿宋"/>
          <w:i w:val="0"/>
          <w:iCs w:val="0"/>
          <w:caps w:val="0"/>
          <w:color w:val="000000" w:themeColor="text1"/>
          <w:spacing w:val="0"/>
          <w:sz w:val="31"/>
          <w:szCs w:val="31"/>
          <w14:textFill>
            <w14:solidFill>
              <w14:schemeClr w14:val="tx1"/>
            </w14:solidFill>
          </w14:textFill>
        </w:rPr>
      </w:pPr>
      <w:r>
        <w:rPr>
          <w:rFonts w:ascii="微软雅黑" w:hAnsi="微软雅黑" w:eastAsia="微软雅黑" w:cs="微软雅黑"/>
          <w:b/>
          <w:bCs/>
          <w:i w:val="0"/>
          <w:iCs w:val="0"/>
          <w:caps w:val="0"/>
          <w:color w:val="000000" w:themeColor="text1"/>
          <w:spacing w:val="0"/>
          <w:sz w:val="48"/>
          <w:szCs w:val="48"/>
          <w14:textFill>
            <w14:solidFill>
              <w14:schemeClr w14:val="tx1"/>
            </w14:solidFill>
          </w14:textFill>
        </w:rPr>
        <w:t>政府信息公开工作年度报告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sz w:val="31"/>
          <w:szCs w:val="31"/>
        </w:rPr>
        <w:t>根据《中华人民共和国政府信息公开条例》，特向社会公布</w:t>
      </w:r>
      <w:r>
        <w:rPr>
          <w:rFonts w:hint="eastAsia" w:ascii="仿宋" w:hAnsi="仿宋" w:eastAsia="仿宋" w:cs="仿宋"/>
          <w:i w:val="0"/>
          <w:iCs w:val="0"/>
          <w:caps w:val="0"/>
          <w:color w:val="333333"/>
          <w:spacing w:val="0"/>
          <w:sz w:val="31"/>
          <w:szCs w:val="31"/>
        </w:rPr>
        <w:t>2021年度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政府信息公开工作年度报告还应当包括工作考核、社会评议和责任追究结果情况；其他需要报告的事项。报告中所列数据的统计期限自2021年1月1日起至2021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1"/>
          <w:szCs w:val="31"/>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2021年，我局认真贯彻落实《条例》及中央和省委省政府、市委市政府关于推进政府信息公开工作要求，紧紧围绕市委市政府重大决策部署和人民群众关注关切，坚持以提升政务公开质量为主线，深化重点领域信息公开，创新创造公开方式，全面推进权力运行全流程、政务服务全过程公开，政府信息公开工作持续深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55" w:right="0" w:firstLine="315"/>
        <w:jc w:val="left"/>
        <w:rPr>
          <w:rFonts w:hint="eastAsia" w:ascii="微软雅黑" w:hAnsi="微软雅黑" w:eastAsia="微软雅黑" w:cs="微软雅黑"/>
          <w:i w:val="0"/>
          <w:iCs w:val="0"/>
          <w:caps w:val="0"/>
          <w:color w:val="333333"/>
          <w:spacing w:val="0"/>
          <w:sz w:val="21"/>
          <w:szCs w:val="21"/>
        </w:rPr>
      </w:pPr>
      <w:r>
        <w:rPr>
          <w:rStyle w:val="5"/>
          <w:rFonts w:ascii="华文仿宋" w:hAnsi="华文仿宋" w:eastAsia="华文仿宋" w:cs="华文仿宋"/>
          <w:i w:val="0"/>
          <w:iCs w:val="0"/>
          <w:caps w:val="0"/>
          <w:color w:val="404040"/>
          <w:spacing w:val="0"/>
          <w:sz w:val="31"/>
          <w:szCs w:val="31"/>
          <w:shd w:val="clear" w:fill="FFFFFF"/>
        </w:rPr>
        <w:t>1.主动公开情况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2021年市财政局主动公开信息961条，其中：机构概况信息7条；政府预决算信息396条；财政收支信息12条，财政收支信息解读3条；政策法规类信息4条；决策公开类信息20条；执行公开类信息91条；管理公开类信息24条；建议提案办理结果公开9条；解读信息发布5条。此外，通过财政有关栏目发布公开通知公告类信息 62 条，工作动态类信息73条。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eastAsia" w:ascii="华文仿宋" w:hAnsi="华文仿宋" w:eastAsia="华文仿宋" w:cs="华文仿宋"/>
          <w:i w:val="0"/>
          <w:iCs w:val="0"/>
          <w:caps w:val="0"/>
          <w:color w:val="404040"/>
          <w:spacing w:val="0"/>
          <w:sz w:val="31"/>
          <w:szCs w:val="31"/>
          <w:shd w:val="clear" w:fill="FFFFFF"/>
        </w:rPr>
        <w:t>2.依申请公开办理情况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2021年，市财政局坚决贯彻政府信息公开工作制度，依法依规开展政府信息依申请公开工作。据统计，市财政局全年共收到依申请信息12条，其中</w:t>
      </w:r>
      <w:r>
        <w:rPr>
          <w:rFonts w:hint="eastAsia" w:ascii="仿宋" w:hAnsi="仿宋" w:eastAsia="仿宋" w:cs="仿宋"/>
          <w:i w:val="0"/>
          <w:iCs w:val="0"/>
          <w:caps w:val="0"/>
          <w:color w:val="333333"/>
          <w:spacing w:val="0"/>
          <w:sz w:val="31"/>
          <w:szCs w:val="31"/>
        </w:rPr>
        <w:t>收到邮递依申请公开信息 2 条，信息公开平台依申请公开 10 条。办理时限均在规定时间内准确答复，</w:t>
      </w:r>
      <w:r>
        <w:rPr>
          <w:rFonts w:hint="eastAsia" w:ascii="仿宋" w:hAnsi="仿宋" w:eastAsia="仿宋" w:cs="仿宋"/>
          <w:i w:val="0"/>
          <w:iCs w:val="0"/>
          <w:caps w:val="0"/>
          <w:color w:val="333333"/>
          <w:spacing w:val="0"/>
          <w:sz w:val="31"/>
          <w:szCs w:val="31"/>
          <w:shd w:val="clear" w:fill="FFFFFF"/>
        </w:rPr>
        <w:t>办结率100%。</w:t>
      </w:r>
      <w:r>
        <w:rPr>
          <w:rFonts w:hint="eastAsia" w:ascii="仿宋" w:hAnsi="仿宋" w:eastAsia="仿宋" w:cs="仿宋"/>
          <w:i w:val="0"/>
          <w:iCs w:val="0"/>
          <w:caps w:val="0"/>
          <w:color w:val="333333"/>
          <w:spacing w:val="0"/>
          <w:sz w:val="31"/>
          <w:szCs w:val="31"/>
        </w:rPr>
        <w:t>收到个人行政复议1条，根据行政复议相关规定，按照申请人申请复议问题，我们依据法律法规和基本事实，形成书面材料予以说明，报司法局审阅，此行政复议已终结，维持原结果。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eastAsia" w:ascii="华文仿宋" w:hAnsi="华文仿宋" w:eastAsia="华文仿宋" w:cs="华文仿宋"/>
          <w:i w:val="0"/>
          <w:iCs w:val="0"/>
          <w:caps w:val="0"/>
          <w:color w:val="333333"/>
          <w:spacing w:val="0"/>
          <w:sz w:val="31"/>
          <w:szCs w:val="31"/>
        </w:rPr>
        <w:t>3.政府信息管理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一是依据公文公开属性源头认定规则，按照“谁起草、谁认定，谁审查、谁负责”的原则，对所有公文进行属性认定。二是依据政策解读工作规则，对涉及面广、社会关注度高、专业性强的政策性文件进行深入解读。三是严格信息公开审查，发布的信息由相关科室初审、办公室复审，重要财政信息局领导审定，签署信息公开保密审查单，由对外公共服务科统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eastAsia" w:ascii="华文仿宋" w:hAnsi="华文仿宋" w:eastAsia="华文仿宋" w:cs="华文仿宋"/>
          <w:i w:val="0"/>
          <w:iCs w:val="0"/>
          <w:caps w:val="0"/>
          <w:color w:val="404040"/>
          <w:spacing w:val="0"/>
          <w:sz w:val="31"/>
          <w:szCs w:val="31"/>
          <w:shd w:val="clear" w:fill="FFFFFF"/>
        </w:rPr>
        <w:t>4.政府信息公开平台建设情况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rPr>
        <w:t>政府信息公开主要综合运用单位门户网站、微信公众号、电子宣传屏等多种载体，扩宽政务公开渠道。同时，</w:t>
      </w:r>
      <w:r>
        <w:rPr>
          <w:rFonts w:hint="eastAsia" w:ascii="仿宋" w:hAnsi="仿宋" w:eastAsia="仿宋" w:cs="仿宋"/>
          <w:i w:val="0"/>
          <w:iCs w:val="0"/>
          <w:caps w:val="0"/>
          <w:color w:val="333333"/>
          <w:spacing w:val="0"/>
          <w:sz w:val="31"/>
          <w:szCs w:val="31"/>
          <w:shd w:val="clear" w:fill="FFFFFF"/>
        </w:rPr>
        <w:t>在市财政局二楼“阳光财政服务平台”设置政务公开查阅点，由专人负责进行政务信息查阅的指导工作，查阅点内放置《财政民生政策公开手册》、《泰安市市直行政事业收费和政府性基金目录手册》、办事指南、法律法规等政府信息，使群众方便查阅、了解政府相关信息。</w:t>
      </w:r>
      <w:r>
        <w:rPr>
          <w:rFonts w:hint="eastAsia" w:ascii="仿宋" w:hAnsi="仿宋" w:eastAsia="仿宋" w:cs="仿宋"/>
          <w:i w:val="0"/>
          <w:iCs w:val="0"/>
          <w:caps w:val="0"/>
          <w:color w:val="333333"/>
          <w:spacing w:val="0"/>
          <w:sz w:val="31"/>
          <w:szCs w:val="31"/>
        </w:rPr>
        <w:t>确保公开效果的最大化，最大限度方便群众和企业办事。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eastAsia" w:ascii="华文仿宋" w:hAnsi="华文仿宋" w:eastAsia="华文仿宋" w:cs="华文仿宋"/>
          <w:i w:val="0"/>
          <w:iCs w:val="0"/>
          <w:caps w:val="0"/>
          <w:color w:val="404040"/>
          <w:spacing w:val="0"/>
          <w:sz w:val="31"/>
          <w:szCs w:val="31"/>
          <w:shd w:val="clear" w:fill="FFFFFF"/>
        </w:rPr>
        <w:t>5.监督保障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rPr>
        <w:t>一是根据市财政局主要领导和成员变动，2021年11月8日印发《泰安市财政局关于调整政务公开领导小组的通知》。及时公开调整后的领导及成员，压实工作监管责任，同时明确专职工作人员及政府信息公开工作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rPr>
        <w:t>二是制定《关于做好新形势下财政工作政务公开的通知》，优化内部各科室单位之间的协调配合机制，各业务科室定期向办公室与对外公共服务科报送最新财政政策、预决算数据、办事程序更新等事项，保证财政政策和工作动态及时、准确地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rPr>
        <w:t>三是</w:t>
      </w:r>
      <w:r>
        <w:rPr>
          <w:rFonts w:hint="eastAsia" w:ascii="仿宋" w:hAnsi="仿宋" w:eastAsia="仿宋" w:cs="仿宋"/>
          <w:i w:val="0"/>
          <w:iCs w:val="0"/>
          <w:caps w:val="0"/>
          <w:color w:val="333333"/>
          <w:spacing w:val="0"/>
          <w:sz w:val="31"/>
          <w:szCs w:val="31"/>
          <w:shd w:val="clear" w:fill="FFFFFF"/>
        </w:rPr>
        <w:t>建立《市财政局</w:t>
      </w:r>
      <w:r>
        <w:rPr>
          <w:rFonts w:hint="eastAsia" w:ascii="仿宋" w:hAnsi="仿宋" w:eastAsia="仿宋" w:cs="仿宋"/>
          <w:i w:val="0"/>
          <w:iCs w:val="0"/>
          <w:caps w:val="0"/>
          <w:color w:val="333333"/>
          <w:spacing w:val="0"/>
          <w:sz w:val="31"/>
          <w:szCs w:val="31"/>
        </w:rPr>
        <w:t>政务公开联络员工作制度》，明确联络员的工作职责，</w:t>
      </w:r>
      <w:r>
        <w:rPr>
          <w:rFonts w:hint="eastAsia" w:ascii="仿宋" w:hAnsi="仿宋" w:eastAsia="仿宋" w:cs="仿宋"/>
          <w:i w:val="0"/>
          <w:iCs w:val="0"/>
          <w:caps w:val="0"/>
          <w:color w:val="333333"/>
          <w:spacing w:val="0"/>
          <w:sz w:val="31"/>
          <w:szCs w:val="31"/>
          <w:shd w:val="clear" w:fill="FFFFFF"/>
        </w:rPr>
        <w:t>强化联络员政务公开的工作意识，</w:t>
      </w:r>
      <w:r>
        <w:rPr>
          <w:rFonts w:hint="eastAsia" w:ascii="仿宋" w:hAnsi="仿宋" w:eastAsia="仿宋" w:cs="仿宋"/>
          <w:i w:val="0"/>
          <w:iCs w:val="0"/>
          <w:caps w:val="0"/>
          <w:color w:val="333333"/>
          <w:spacing w:val="0"/>
          <w:sz w:val="31"/>
          <w:szCs w:val="31"/>
        </w:rPr>
        <w:t>提高科室之间工作协调联动水平。通过制度的建设，搭建主管科室与业务科室工作桥梁，达到各科室的政务公开工作有人管，有人问的目的，保障各科室之间工作协调联动，切实提高工作效率。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四是市财政局定期举办政务公开培训班。通过培训，促进全局工作人员不断加深政务公开认知，夯实工作能力和水平，为今后相关工作更好地开展指明方向、提供遵循。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rPr>
        <w:t>二、主动公开政府信息情况                                                                                                                                      </w:t>
      </w:r>
    </w:p>
    <w:tbl>
      <w:tblPr>
        <w:tblStyle w:val="3"/>
        <w:tblW w:w="882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05"/>
        <w:gridCol w:w="2205"/>
        <w:gridCol w:w="220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aps w:val="0"/>
                <w:color w:val="333333"/>
                <w:spacing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ascii="仿宋_GB2312" w:hAnsi="微软雅黑" w:eastAsia="仿宋_GB2312" w:cs="仿宋_GB2312"/>
                <w:caps w:val="0"/>
                <w:color w:val="333333"/>
                <w:spacing w:val="0"/>
                <w:sz w:val="21"/>
                <w:szCs w:val="21"/>
              </w:rPr>
              <w:t>信息内容</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default" w:ascii="仿宋_GB2312" w:hAnsi="微软雅黑" w:eastAsia="仿宋_GB2312" w:cs="仿宋_GB2312"/>
                <w:caps w:val="0"/>
                <w:color w:val="333333"/>
                <w:spacing w:val="0"/>
                <w:sz w:val="21"/>
                <w:szCs w:val="21"/>
              </w:rPr>
              <w:t>本年制发件数</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default" w:ascii="仿宋_GB2312" w:hAnsi="微软雅黑" w:eastAsia="仿宋_GB2312" w:cs="仿宋_GB2312"/>
                <w:caps w:val="0"/>
                <w:color w:val="333333"/>
                <w:spacing w:val="0"/>
                <w:sz w:val="21"/>
                <w:szCs w:val="21"/>
              </w:rPr>
              <w:t>本年废止件数</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default" w:ascii="仿宋_GB2312" w:hAnsi="微软雅黑" w:eastAsia="仿宋_GB2312" w:cs="仿宋_GB2312"/>
                <w:caps w:val="0"/>
                <w:color w:val="333333"/>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规章</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　  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color w:val="333333"/>
                <w:sz w:val="21"/>
                <w:szCs w:val="21"/>
              </w:rPr>
            </w:pPr>
            <w:r>
              <w:rPr>
                <w:rFonts w:hint="default" w:ascii="仿宋_GB2312" w:hAnsi="微软雅黑" w:eastAsia="仿宋_GB2312" w:cs="仿宋_GB2312"/>
                <w:caps w:val="0"/>
                <w:color w:val="333333"/>
                <w:spacing w:val="0"/>
                <w:sz w:val="21"/>
                <w:szCs w:val="21"/>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行政规范性文件</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　　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eastAsia" w:ascii="宋体" w:hAnsi="宋体" w:eastAsia="宋体" w:cs="宋体"/>
                <w:caps w:val="0"/>
                <w:color w:val="333333"/>
                <w:spacing w:val="0"/>
                <w:sz w:val="21"/>
                <w:szCs w:val="21"/>
              </w:rPr>
              <w:t> </w:t>
            </w:r>
            <w:r>
              <w:rPr>
                <w:rFonts w:hint="default" w:ascii="仿宋_GB2312" w:hAnsi="微软雅黑" w:eastAsia="仿宋_GB2312" w:cs="仿宋_GB2312"/>
                <w:caps w:val="0"/>
                <w:color w:val="333333"/>
                <w:spacing w:val="0"/>
                <w:sz w:val="21"/>
                <w:szCs w:val="21"/>
              </w:rPr>
              <w:t>　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aps w:val="0"/>
                <w:color w:val="333333"/>
                <w:spacing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default" w:ascii="仿宋_GB2312" w:hAnsi="微软雅黑" w:eastAsia="仿宋_GB2312" w:cs="仿宋_GB2312"/>
                <w:caps w:val="0"/>
                <w:color w:val="333333"/>
                <w:spacing w:val="0"/>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default" w:ascii="仿宋_GB2312" w:hAnsi="微软雅黑" w:eastAsia="仿宋_GB2312" w:cs="仿宋_GB2312"/>
                <w:caps w:val="0"/>
                <w:color w:val="333333"/>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行政许可</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aps w:val="0"/>
                <w:color w:val="333333"/>
                <w:spacing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default" w:ascii="仿宋_GB2312" w:hAnsi="微软雅黑" w:eastAsia="仿宋_GB2312" w:cs="仿宋_GB2312"/>
                <w:caps w:val="0"/>
                <w:color w:val="333333"/>
                <w:spacing w:val="0"/>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default" w:ascii="仿宋_GB2312" w:hAnsi="微软雅黑" w:eastAsia="仿宋_GB2312" w:cs="仿宋_GB2312"/>
                <w:caps w:val="0"/>
                <w:color w:val="333333"/>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行政处罚</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行政强制</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aps w:val="0"/>
                <w:color w:val="333333"/>
                <w:spacing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default" w:ascii="仿宋_GB2312" w:hAnsi="微软雅黑" w:eastAsia="仿宋_GB2312" w:cs="仿宋_GB2312"/>
                <w:caps w:val="0"/>
                <w:color w:val="333333"/>
                <w:spacing w:val="0"/>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default" w:ascii="仿宋_GB2312" w:hAnsi="微软雅黑" w:eastAsia="仿宋_GB2312" w:cs="仿宋_GB2312"/>
                <w:caps w:val="0"/>
                <w:color w:val="333333"/>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行政事业性收费</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default" w:ascii="仿宋_GB2312" w:hAnsi="微软雅黑" w:eastAsia="仿宋_GB2312" w:cs="仿宋_GB2312"/>
                <w:caps w:val="0"/>
                <w:color w:val="333333"/>
                <w:spacing w:val="0"/>
                <w:sz w:val="21"/>
                <w:szCs w:val="21"/>
              </w:rPr>
              <w:t>　170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rPr>
        <w:t> </w:t>
      </w:r>
    </w:p>
    <w:tbl>
      <w:tblPr>
        <w:tblStyle w:val="3"/>
        <w:tblW w:w="991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0"/>
        <w:gridCol w:w="1650"/>
        <w:gridCol w:w="2862"/>
        <w:gridCol w:w="805"/>
        <w:gridCol w:w="564"/>
        <w:gridCol w:w="564"/>
        <w:gridCol w:w="720"/>
        <w:gridCol w:w="692"/>
        <w:gridCol w:w="564"/>
        <w:gridCol w:w="8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jc w:val="center"/>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ascii="楷体_GB2312" w:eastAsia="楷体_GB2312" w:cs="楷体_GB2312"/>
                <w:color w:val="333333"/>
                <w:sz w:val="21"/>
                <w:szCs w:val="21"/>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default" w:ascii="楷体_GB2312" w:eastAsia="楷体_GB2312" w:cs="楷体_GB2312"/>
                <w:color w:val="333333"/>
                <w:sz w:val="21"/>
                <w:szCs w:val="21"/>
              </w:rPr>
              <w:t>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黑体" w:hAnsi="宋体" w:eastAsia="黑体" w:cs="黑体"/>
                <w:color w:val="333333"/>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2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21"/>
                <w:szCs w:val="21"/>
              </w:rPr>
              <w:t>自然人</w:t>
            </w:r>
          </w:p>
        </w:tc>
        <w:tc>
          <w:tcPr>
            <w:tcW w:w="313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黑体" w:hAnsi="宋体" w:eastAsia="黑体" w:cs="黑体"/>
                <w:color w:val="333333"/>
                <w:sz w:val="21"/>
                <w:szCs w:val="21"/>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blCellSpacing w:w="0" w:type="dxa"/>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2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黑体" w:hAnsi="宋体" w:eastAsia="黑体" w:cs="黑体"/>
                <w:color w:val="333333"/>
                <w:sz w:val="21"/>
                <w:szCs w:val="21"/>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黑体" w:hAnsi="宋体" w:eastAsia="黑体" w:cs="黑体"/>
                <w:color w:val="333333"/>
                <w:sz w:val="21"/>
                <w:szCs w:val="21"/>
              </w:rPr>
              <w:t>科研机构</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黑体" w:hAnsi="宋体" w:eastAsia="黑体" w:cs="黑体"/>
                <w:color w:val="333333"/>
                <w:sz w:val="21"/>
                <w:szCs w:val="21"/>
              </w:rPr>
              <w:t>社会公益组织</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黑体" w:hAnsi="宋体" w:eastAsia="黑体" w:cs="黑体"/>
                <w:color w:val="333333"/>
                <w:sz w:val="21"/>
                <w:szCs w:val="21"/>
              </w:rPr>
              <w:t>法律服务机构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1"/>
                <w:szCs w:val="21"/>
              </w:rPr>
            </w:pPr>
            <w:r>
              <w:rPr>
                <w:rFonts w:hint="eastAsia" w:ascii="黑体" w:hAnsi="宋体" w:eastAsia="黑体" w:cs="黑体"/>
                <w:color w:val="333333"/>
                <w:sz w:val="21"/>
                <w:szCs w:val="21"/>
              </w:rPr>
              <w:t>其他</w:t>
            </w: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 w:hRule="atLeast"/>
          <w:tblCellSpacing w:w="0" w:type="dxa"/>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eastAsia" w:ascii="黑体" w:hAnsi="宋体" w:eastAsia="黑体" w:cs="黑体"/>
                <w:color w:val="333333"/>
                <w:sz w:val="21"/>
                <w:szCs w:val="21"/>
              </w:rPr>
              <w:t>一、本年新收政府信息公开申请数量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11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 w:hRule="atLeast"/>
          <w:tblCellSpacing w:w="0" w:type="dxa"/>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eastAsia" w:ascii="黑体" w:hAnsi="宋体" w:eastAsia="黑体" w:cs="黑体"/>
                <w:color w:val="333333"/>
                <w:sz w:val="21"/>
                <w:szCs w:val="21"/>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eastAsia" w:ascii="黑体" w:hAnsi="宋体" w:eastAsia="黑体" w:cs="黑体"/>
                <w:color w:val="333333"/>
                <w:sz w:val="21"/>
                <w:szCs w:val="21"/>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eastAsia" w:ascii="黑体" w:hAnsi="宋体" w:eastAsia="黑体" w:cs="黑体"/>
                <w:color w:val="333333"/>
                <w:sz w:val="21"/>
                <w:szCs w:val="21"/>
              </w:rPr>
              <w:t>（一）予以公开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11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Fonts w:hint="eastAsia" w:ascii="黑体" w:hAnsi="宋体" w:eastAsia="黑体" w:cs="黑体"/>
                <w:color w:val="333333"/>
                <w:sz w:val="21"/>
                <w:szCs w:val="21"/>
              </w:rPr>
              <w:t>（二）部分公开（区分处理的，只计这一情形，不计其他情形）</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eastAsia" w:ascii="黑体" w:hAnsi="宋体" w:eastAsia="黑体" w:cs="黑体"/>
                <w:color w:val="333333"/>
                <w:sz w:val="21"/>
                <w:szCs w:val="21"/>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1.属于国家秘密</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2.其他法律行政法规禁止公开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3.危及“三安全一稳定”</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4.保护第三方合法权益</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5.属于三类内部事务信息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6.属于四类过程性信息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7.属于行政执法案卷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8.属于行政查询事项</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eastAsia" w:ascii="黑体" w:hAnsi="宋体" w:eastAsia="黑体" w:cs="黑体"/>
                <w:color w:val="333333"/>
                <w:sz w:val="21"/>
                <w:szCs w:val="21"/>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1.本机关不掌握相关政府信息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2.没有现成信息需要另行制作</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3.补正后申请内容仍不明确</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eastAsia" w:ascii="黑体" w:hAnsi="宋体" w:eastAsia="黑体" w:cs="黑体"/>
                <w:color w:val="333333"/>
                <w:sz w:val="21"/>
                <w:szCs w:val="21"/>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1.信访举报投诉类申请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2.重复申请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3.要求提供公开出版物</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21"/>
                <w:szCs w:val="21"/>
              </w:rPr>
            </w:pPr>
            <w:r>
              <w:rPr>
                <w:rFonts w:hint="default" w:ascii="仿宋_GB2312" w:eastAsia="仿宋_GB2312" w:cs="仿宋_GB2312"/>
                <w:color w:val="333333"/>
                <w:sz w:val="21"/>
                <w:szCs w:val="21"/>
              </w:rPr>
              <w:t>4.无正当理由大量反复申请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default" w:ascii="仿宋_GB2312" w:eastAsia="仿宋_GB2312" w:cs="仿宋_GB2312"/>
                <w:color w:val="333333"/>
                <w:sz w:val="21"/>
                <w:szCs w:val="21"/>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rPr>
                <w:color w:val="333333"/>
                <w:sz w:val="21"/>
                <w:szCs w:val="21"/>
              </w:rPr>
            </w:pPr>
            <w:r>
              <w:rPr>
                <w:rFonts w:hint="default" w:ascii="仿宋_GB2312" w:eastAsia="仿宋_GB2312" w:cs="仿宋_GB2312"/>
                <w:color w:val="333333"/>
                <w:sz w:val="21"/>
                <w:szCs w:val="21"/>
              </w:rPr>
              <w:t>出具已获取信息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黑体" w:hAnsi="宋体" w:eastAsia="黑体" w:cs="黑体"/>
                <w:color w:val="333333"/>
                <w:sz w:val="21"/>
                <w:szCs w:val="21"/>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default" w:ascii="仿宋_GB2312" w:eastAsia="仿宋_GB2312" w:cs="仿宋_GB2312"/>
                <w:color w:val="333333"/>
                <w:sz w:val="21"/>
                <w:szCs w:val="21"/>
              </w:rPr>
              <w:t>1.申请人无正当理由逾期不补正、行政机关不再处理其政府信息公开申请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default" w:ascii="仿宋_GB2312" w:eastAsia="仿宋_GB2312" w:cs="仿宋_GB2312"/>
                <w:color w:val="333333"/>
                <w:sz w:val="21"/>
                <w:szCs w:val="21"/>
              </w:rPr>
              <w:t>2.申请人逾期未按收费通知要求缴纳费用、行政机关不再处理其政府信息公开申请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default" w:ascii="仿宋_GB2312" w:eastAsia="仿宋_GB2312" w:cs="仿宋_GB2312"/>
                <w:color w:val="333333"/>
                <w:sz w:val="21"/>
                <w:szCs w:val="21"/>
              </w:rPr>
              <w:t>3.其他</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黑体" w:hAnsi="宋体" w:eastAsia="黑体" w:cs="黑体"/>
                <w:color w:val="333333"/>
                <w:sz w:val="21"/>
                <w:szCs w:val="21"/>
              </w:rPr>
              <w:t>（七）总计</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11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1</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黑体" w:hAnsi="宋体" w:eastAsia="黑体" w:cs="黑体"/>
                <w:color w:val="333333"/>
                <w:sz w:val="21"/>
                <w:szCs w:val="21"/>
              </w:rPr>
              <w:t>四、结转下年度继续办理</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仿宋_GB2312" w:eastAsia="仿宋_GB2312" w:cs="仿宋_GB2312"/>
                <w:color w:val="333333"/>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rPr>
        <w:t> </w:t>
      </w:r>
    </w:p>
    <w:tbl>
      <w:tblPr>
        <w:tblStyle w:val="3"/>
        <w:tblW w:w="907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blCellSpacing w:w="0" w:type="dxa"/>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tblCellSpacing w:w="0" w:type="dxa"/>
          <w:jc w:val="center"/>
        </w:trPr>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审结</w:t>
            </w:r>
          </w:p>
        </w:tc>
        <w:tc>
          <w:tcPr>
            <w:tcW w:w="66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黑体" w:hAnsi="宋体" w:eastAsia="黑体" w:cs="黑体"/>
                <w:color w:val="333333"/>
                <w:sz w:val="19"/>
                <w:szCs w:val="19"/>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黑体" w:hAnsi="宋体" w:eastAsia="黑体" w:cs="黑体"/>
                <w:color w:val="333333"/>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0" w:hRule="atLeast"/>
          <w:tblCellSpacing w:w="0" w:type="dxa"/>
          <w:jc w:val="center"/>
        </w:trPr>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Fonts w:hint="eastAsia" w:ascii="黑体" w:hAnsi="宋体" w:eastAsia="黑体" w:cs="黑体"/>
                <w:color w:val="333333"/>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1</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1</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color w:val="333333"/>
                <w:sz w:val="21"/>
                <w:szCs w:val="21"/>
              </w:rPr>
            </w:pPr>
            <w:r>
              <w:rPr>
                <w:rFonts w:hint="default" w:ascii="Times New Roman" w:hAnsi="Times New Roman" w:eastAsia="宋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color w:val="333333"/>
                <w:sz w:val="21"/>
                <w:szCs w:val="21"/>
              </w:rPr>
            </w:pPr>
            <w:r>
              <w:rPr>
                <w:rFonts w:hint="default" w:ascii="Times New Roman" w:hAnsi="Times New Roman" w:eastAsia="宋体" w:cs="Times New Roman"/>
                <w:color w:val="333333"/>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1.政府信息公开工作培训力度有待加强。财政业务具有较强的专业性，针对财政业务和信息公开融合的专项培训次数较少，如财政预决算公开的格式、月报的解读等财政重点领域公开方面。针对目前新形势下的新工作、新任务，加强培训做好信息公开、打造阳光财政具有重要意义。下一步，将加大培训力度，拓展培训方式，扩大培训范围，使政府信息公开有关规定成为每名财政工作人员所掌握的必备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2.政府信息公开政策解读栏目的信息发布量少，形式还不够丰富，政策解读的效果有待加强。下一步，严格按照“应公开、尽公开”原则，加大重点领域信息公开和民生领域政策解读力度，丰富公开形式和渠道，加强政民互动交流，不断提升政府信息公开工作水平，更好地为社会公众提供优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eastAsia" w:ascii="华文仿宋" w:hAnsi="华文仿宋" w:eastAsia="华文仿宋" w:cs="华文仿宋"/>
          <w:i w:val="0"/>
          <w:iCs w:val="0"/>
          <w:caps w:val="0"/>
          <w:color w:val="333333"/>
          <w:spacing w:val="0"/>
          <w:sz w:val="31"/>
          <w:szCs w:val="31"/>
        </w:rPr>
        <w:t>1、本行政机关人大代表建议和政协提案办理结果公开情况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rPr>
        <w:t>2021年，市财政局共承办政协提案40件（其中：主办1件，会办39件）。内容涉及农村饮水安全、文物保护、公共卫生服务体系建设、社区居家养老服务等方面。目前相关政协提案已全部办理完毕，主办件已按照市政府对政协提案办理要求进行面复，按期答复率、面复率和满意率均达到了100%。共承办人大代表建议14件（其中：主办2件，会办12件）。内容涉及支持教育发展、公共卫生服务、加快农村集体经济发展、老旧小区改造、支持企业发展等方面。目前，相关建议已全部办理完毕，主办件已按照市政府对人大代表建议办理要求进行面复，按期答复率、面复率和满意率均达到了100%。</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45" w:leftChars="0" w:right="0" w:rightChars="0"/>
        <w:jc w:val="left"/>
        <w:rPr>
          <w:rStyle w:val="5"/>
          <w:rFonts w:hint="default" w:ascii="华文仿宋" w:hAnsi="华文仿宋" w:eastAsia="华文仿宋" w:cs="华文仿宋"/>
          <w:i w:val="0"/>
          <w:iCs w:val="0"/>
          <w:caps w:val="0"/>
          <w:color w:val="333333"/>
          <w:spacing w:val="0"/>
          <w:sz w:val="31"/>
          <w:szCs w:val="31"/>
          <w:lang w:val="en-US" w:eastAsia="zh-CN"/>
        </w:rPr>
      </w:pPr>
      <w:r>
        <w:rPr>
          <w:rStyle w:val="5"/>
          <w:rFonts w:hint="eastAsia" w:ascii="华文仿宋" w:hAnsi="华文仿宋" w:eastAsia="华文仿宋" w:cs="华文仿宋"/>
          <w:i w:val="0"/>
          <w:iCs w:val="0"/>
          <w:caps w:val="0"/>
          <w:color w:val="333333"/>
          <w:spacing w:val="0"/>
          <w:sz w:val="31"/>
          <w:szCs w:val="31"/>
          <w:lang w:val="en-US" w:eastAsia="zh-CN"/>
        </w:rPr>
        <w:t>2.</w:t>
      </w:r>
      <w:r>
        <w:rPr>
          <w:rStyle w:val="5"/>
          <w:rFonts w:hint="eastAsia" w:ascii="华文仿宋" w:hAnsi="华文仿宋" w:eastAsia="华文仿宋" w:cs="华文仿宋"/>
          <w:i w:val="0"/>
          <w:iCs w:val="0"/>
          <w:caps w:val="0"/>
          <w:color w:val="333333"/>
          <w:spacing w:val="0"/>
          <w:sz w:val="31"/>
          <w:szCs w:val="31"/>
        </w:rPr>
        <w:t>本行政机关</w:t>
      </w:r>
      <w:r>
        <w:rPr>
          <w:rStyle w:val="5"/>
          <w:rFonts w:hint="eastAsia" w:ascii="华文仿宋" w:hAnsi="华文仿宋" w:eastAsia="华文仿宋" w:cs="华文仿宋"/>
          <w:i w:val="0"/>
          <w:iCs w:val="0"/>
          <w:caps w:val="0"/>
          <w:color w:val="333333"/>
          <w:spacing w:val="0"/>
          <w:sz w:val="31"/>
          <w:szCs w:val="31"/>
          <w:lang w:val="en-US" w:eastAsia="zh-CN"/>
        </w:rPr>
        <w:t>收取信息处理费的情况</w:t>
      </w:r>
    </w:p>
    <w:p>
      <w:pPr>
        <w:ind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依据《政府信息公开信息处理费管理办法》《山东省人民政府办公厅关于做好政府信息公开信息处理费管理工作有关事项的通知》，本年度没有产生信息公开处理费。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45" w:leftChars="0" w:right="0" w:rightChars="0"/>
        <w:jc w:val="left"/>
        <w:rPr>
          <w:rStyle w:val="5"/>
          <w:rFonts w:hint="default" w:ascii="华文仿宋" w:hAnsi="华文仿宋" w:eastAsia="华文仿宋" w:cs="华文仿宋"/>
          <w:i w:val="0"/>
          <w:iCs w:val="0"/>
          <w:caps w:val="0"/>
          <w:color w:val="333333"/>
          <w:spacing w:val="0"/>
          <w:sz w:val="31"/>
          <w:szCs w:val="31"/>
          <w:lang w:val="en-US" w:eastAsia="zh-CN"/>
        </w:rPr>
      </w:pPr>
      <w:r>
        <w:rPr>
          <w:rStyle w:val="5"/>
          <w:rFonts w:hint="eastAsia" w:ascii="华文仿宋" w:hAnsi="华文仿宋" w:eastAsia="华文仿宋" w:cs="华文仿宋"/>
          <w:i w:val="0"/>
          <w:iCs w:val="0"/>
          <w:caps w:val="0"/>
          <w:color w:val="333333"/>
          <w:spacing w:val="0"/>
          <w:sz w:val="31"/>
          <w:szCs w:val="31"/>
          <w:lang w:val="en-US" w:eastAsia="zh-CN"/>
        </w:rPr>
        <w:t>3.落实上级年度政务公开工作要点情况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494949"/>
          <w:spacing w:val="0"/>
          <w:sz w:val="32"/>
          <w:szCs w:val="32"/>
          <w:shd w:val="clear" w:fill="FFFFFF"/>
        </w:rPr>
        <w:t>2021年我局高度重视政务公开工作</w:t>
      </w:r>
      <w:r>
        <w:rPr>
          <w:rFonts w:hint="eastAsia" w:ascii="仿宋" w:hAnsi="仿宋" w:eastAsia="仿宋" w:cs="仿宋"/>
          <w:i w:val="0"/>
          <w:iCs w:val="0"/>
          <w:caps w:val="0"/>
          <w:color w:val="494949"/>
          <w:spacing w:val="0"/>
          <w:sz w:val="32"/>
          <w:szCs w:val="32"/>
          <w:shd w:val="clear" w:fill="FFFFFF"/>
          <w:lang w:eastAsia="zh-CN"/>
        </w:rPr>
        <w:t>，</w:t>
      </w:r>
      <w:r>
        <w:rPr>
          <w:rFonts w:hint="eastAsia" w:ascii="仿宋" w:hAnsi="仿宋" w:eastAsia="仿宋" w:cs="仿宋"/>
          <w:i w:val="0"/>
          <w:iCs w:val="0"/>
          <w:caps w:val="0"/>
          <w:color w:val="494949"/>
          <w:spacing w:val="0"/>
          <w:sz w:val="32"/>
          <w:szCs w:val="32"/>
          <w:shd w:val="clear" w:fill="FFFFFF"/>
        </w:rPr>
        <w:t>把政务公开工作摆上重要议事日程，与</w:t>
      </w:r>
      <w:r>
        <w:rPr>
          <w:rFonts w:hint="eastAsia" w:ascii="仿宋" w:hAnsi="仿宋" w:eastAsia="仿宋" w:cs="仿宋"/>
          <w:i w:val="0"/>
          <w:iCs w:val="0"/>
          <w:caps w:val="0"/>
          <w:color w:val="494949"/>
          <w:spacing w:val="0"/>
          <w:sz w:val="32"/>
          <w:szCs w:val="32"/>
          <w:shd w:val="clear" w:fill="FFFFFF"/>
          <w:lang w:val="en-US" w:eastAsia="zh-CN"/>
        </w:rPr>
        <w:t>财政</w:t>
      </w:r>
      <w:r>
        <w:rPr>
          <w:rFonts w:hint="eastAsia" w:ascii="仿宋" w:hAnsi="仿宋" w:eastAsia="仿宋" w:cs="仿宋"/>
          <w:i w:val="0"/>
          <w:iCs w:val="0"/>
          <w:caps w:val="0"/>
          <w:color w:val="494949"/>
          <w:spacing w:val="0"/>
          <w:sz w:val="32"/>
          <w:szCs w:val="32"/>
          <w:shd w:val="clear" w:fill="FFFFFF"/>
        </w:rPr>
        <w:t>工作同研究、同部署、同考核，并</w:t>
      </w:r>
      <w:r>
        <w:rPr>
          <w:rFonts w:hint="eastAsia" w:ascii="仿宋" w:hAnsi="仿宋" w:eastAsia="仿宋" w:cs="仿宋"/>
          <w:i w:val="0"/>
          <w:iCs w:val="0"/>
          <w:caps w:val="0"/>
          <w:color w:val="333333"/>
          <w:spacing w:val="0"/>
          <w:sz w:val="32"/>
          <w:szCs w:val="32"/>
          <w:shd w:val="clear" w:fill="FFFFFF"/>
        </w:rPr>
        <w:t>进一步明确责任，充分发挥政务公开领导小组作用</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做到主要领导亲自抓，分管领导直接抓，每个公开板块具体责任明确到科室和个人，确保政务公开工作有序、责任落实到位</w:t>
      </w:r>
      <w:r>
        <w:rPr>
          <w:rFonts w:hint="eastAsia" w:ascii="仿宋" w:hAnsi="仿宋" w:eastAsia="仿宋" w:cs="仿宋"/>
          <w:i w:val="0"/>
          <w:iCs w:val="0"/>
          <w:caps w:val="0"/>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rPr>
        <w:t>同时</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我局</w:t>
      </w:r>
      <w:r>
        <w:rPr>
          <w:rFonts w:hint="eastAsia" w:ascii="仿宋" w:hAnsi="仿宋" w:eastAsia="仿宋" w:cs="仿宋"/>
          <w:i w:val="0"/>
          <w:iCs w:val="0"/>
          <w:caps w:val="0"/>
          <w:color w:val="333333"/>
          <w:spacing w:val="0"/>
          <w:sz w:val="32"/>
          <w:szCs w:val="32"/>
        </w:rPr>
        <w:t>加大政府信息主动公开工作的探索和创新，积极打造亮点工作。一是印</w:t>
      </w:r>
      <w:r>
        <w:rPr>
          <w:rFonts w:hint="eastAsia" w:ascii="仿宋" w:hAnsi="仿宋" w:eastAsia="仿宋" w:cs="仿宋"/>
          <w:i w:val="0"/>
          <w:iCs w:val="0"/>
          <w:caps w:val="0"/>
          <w:color w:val="333333"/>
          <w:spacing w:val="0"/>
          <w:sz w:val="32"/>
          <w:szCs w:val="32"/>
          <w:lang w:val="en-US" w:eastAsia="zh-CN"/>
        </w:rPr>
        <w:t>制</w:t>
      </w:r>
      <w:r>
        <w:rPr>
          <w:rFonts w:hint="eastAsia" w:ascii="仿宋" w:hAnsi="仿宋" w:eastAsia="仿宋" w:cs="仿宋"/>
          <w:i w:val="0"/>
          <w:iCs w:val="0"/>
          <w:caps w:val="0"/>
          <w:color w:val="333333"/>
          <w:spacing w:val="0"/>
          <w:sz w:val="31"/>
          <w:szCs w:val="31"/>
        </w:rPr>
        <w:t>《财政民生政策公开手册》，</w:t>
      </w:r>
      <w:r>
        <w:rPr>
          <w:rFonts w:hint="eastAsia" w:ascii="仿宋" w:hAnsi="仿宋" w:eastAsia="仿宋" w:cs="仿宋"/>
          <w:i w:val="0"/>
          <w:iCs w:val="0"/>
          <w:caps w:val="0"/>
          <w:color w:val="191919"/>
          <w:spacing w:val="0"/>
          <w:sz w:val="31"/>
          <w:szCs w:val="31"/>
          <w:shd w:val="clear" w:fill="FFFFFF"/>
        </w:rPr>
        <w:t>对市民反映较多的难点问题进行梳理分析，</w:t>
      </w:r>
      <w:r>
        <w:rPr>
          <w:rFonts w:hint="eastAsia" w:ascii="仿宋" w:hAnsi="仿宋" w:eastAsia="仿宋" w:cs="仿宋"/>
          <w:i w:val="0"/>
          <w:iCs w:val="0"/>
          <w:caps w:val="0"/>
          <w:color w:val="333333"/>
          <w:spacing w:val="0"/>
          <w:sz w:val="31"/>
          <w:szCs w:val="31"/>
        </w:rPr>
        <w:t>将七大类民生政策内容整合，在市财政局政务公开栏目发布，并通过媒体进社区和阳光财政平台等方式向市民免费发放，</w:t>
      </w:r>
      <w:r>
        <w:rPr>
          <w:rFonts w:hint="eastAsia" w:ascii="仿宋" w:hAnsi="仿宋" w:eastAsia="仿宋" w:cs="仿宋"/>
          <w:i w:val="0"/>
          <w:iCs w:val="0"/>
          <w:caps w:val="0"/>
          <w:color w:val="333333"/>
          <w:spacing w:val="0"/>
          <w:sz w:val="31"/>
          <w:szCs w:val="31"/>
          <w:shd w:val="clear" w:fill="FFFFFF"/>
        </w:rPr>
        <w:t>方便市民及时了解财政政策、理解政策、用好政策</w:t>
      </w:r>
      <w:r>
        <w:rPr>
          <w:rFonts w:hint="eastAsia" w:ascii="仿宋" w:hAnsi="仿宋" w:eastAsia="仿宋" w:cs="仿宋"/>
          <w:i w:val="0"/>
          <w:iCs w:val="0"/>
          <w:caps w:val="0"/>
          <w:color w:val="333333"/>
          <w:spacing w:val="0"/>
          <w:sz w:val="31"/>
          <w:szCs w:val="31"/>
        </w:rPr>
        <w:t>。二是制作政务信息公开展板，通过线上线下结合的方式进行机构信息公开，让信息更加直接、简便地向社会公开，让公开更为彻底。三是印发《市财政局政务公开联络员工作制度》，进一步加强政务公开、政务服务热线工作联络，提高工作协调联动水平。</w:t>
      </w:r>
      <w:r>
        <w:rPr>
          <w:rFonts w:hint="eastAsia" w:ascii="仿宋" w:hAnsi="仿宋" w:eastAsia="仿宋" w:cs="仿宋"/>
          <w:i w:val="0"/>
          <w:iCs w:val="0"/>
          <w:caps w:val="0"/>
          <w:color w:val="333333"/>
          <w:spacing w:val="0"/>
          <w:sz w:val="31"/>
          <w:szCs w:val="31"/>
          <w:shd w:val="clear" w:fill="FFFFFF"/>
        </w:rPr>
        <w:t>以为群众“办好一件事”为标准，更好地对办事服务信息加以集成、优化、简化，并向社会公开，最大限度确保政务公开工作的及时性。四是优化办事流程，最大限度实现透明化办事。对外公共服务科协调各业务科室及时更新并公开办事方式、办事条件等信息，推动“放管服”改革进程，进一步提升信息公开便利度。</w:t>
      </w:r>
    </w:p>
    <w:p>
      <w:pPr>
        <w:ind w:firstLine="640" w:firstLineChars="200"/>
        <w:rPr>
          <w:rFonts w:hint="eastAsia" w:ascii="仿宋" w:hAnsi="仿宋" w:eastAsia="仿宋" w:cs="仿宋"/>
          <w:i w:val="0"/>
          <w:iCs w:val="0"/>
          <w:caps w:val="0"/>
          <w:color w:val="494949"/>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zEwMmRkZWU4MDQyNTc3N2VkYThiMDQ3OWJhZjkifQ=="/>
  </w:docVars>
  <w:rsids>
    <w:rsidRoot w:val="00000000"/>
    <w:rsid w:val="11573FC6"/>
    <w:rsid w:val="13AC5669"/>
    <w:rsid w:val="1AE133B8"/>
    <w:rsid w:val="283D51AA"/>
    <w:rsid w:val="4C6756EA"/>
    <w:rsid w:val="5FED5A2E"/>
    <w:rsid w:val="6A5C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3676</Words>
  <Characters>3776</Characters>
  <Lines>0</Lines>
  <Paragraphs>0</Paragraphs>
  <TotalTime>11</TotalTime>
  <ScaleCrop>false</ScaleCrop>
  <LinksUpToDate>false</LinksUpToDate>
  <CharactersWithSpaces>3931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2022-07-11T01:09:00Z</dcterms:created>
  <dc:creator>lenovo</dc:creator>
  <cp:lastModifiedBy>lenovo</cp:lastModifiedBy>
  <cp:lastPrinted>2022-07-13T02:14:00Z</cp:lastPrinted>
  <dcterms:modified xsi:type="dcterms:W3CDTF">2022-07-14T01:09:05Z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99687212B8C74A3CB4CE45AEA14B1F21</vt:lpwstr>
  </property>
</Properties>
</file>