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黑体" w:hAnsi="黑体" w:eastAsia="黑体" w:cs="黑体"/>
          <w:b/>
          <w:bCs/>
          <w:i w:val="0"/>
          <w:iCs w:val="0"/>
          <w:caps w:val="0"/>
          <w:color w:val="000000" w:themeColor="text1"/>
          <w:spacing w:val="0"/>
          <w:sz w:val="36"/>
          <w:szCs w:val="36"/>
          <w:u w:val="none"/>
          <w14:textFill>
            <w14:solidFill>
              <w14:schemeClr w14:val="tx1"/>
            </w14:solidFill>
          </w14:textFill>
        </w:rPr>
      </w:pPr>
      <w:r>
        <w:rPr>
          <w:rFonts w:hint="eastAsia" w:ascii="黑体" w:hAnsi="黑体" w:eastAsia="黑体" w:cs="黑体"/>
          <w:b/>
          <w:bCs/>
          <w:i w:val="0"/>
          <w:iCs w:val="0"/>
          <w:caps w:val="0"/>
          <w:color w:val="000000" w:themeColor="text1"/>
          <w:spacing w:val="0"/>
          <w:sz w:val="36"/>
          <w:szCs w:val="36"/>
          <w:u w:val="none"/>
          <w:shd w:val="clear" w:fill="FFFFFF"/>
          <w14:textFill>
            <w14:solidFill>
              <w14:schemeClr w14:val="tx1"/>
            </w14:solidFill>
          </w14:textFill>
        </w:rPr>
        <w:t>关于《</w:t>
      </w:r>
      <w:r>
        <w:rPr>
          <w:rFonts w:hint="eastAsia" w:ascii="黑体" w:hAnsi="黑体" w:eastAsia="黑体" w:cs="黑体"/>
          <w:b/>
          <w:bCs/>
          <w:i w:val="0"/>
          <w:iCs w:val="0"/>
          <w:caps w:val="0"/>
          <w:color w:val="000000" w:themeColor="text1"/>
          <w:spacing w:val="0"/>
          <w:sz w:val="36"/>
          <w:szCs w:val="36"/>
          <w:u w:val="none"/>
          <w14:textFill>
            <w14:solidFill>
              <w14:schemeClr w14:val="tx1"/>
            </w14:solidFill>
          </w14:textFill>
        </w:rPr>
        <w:t>泰安市财政局202</w:t>
      </w:r>
      <w:r>
        <w:rPr>
          <w:rFonts w:hint="eastAsia" w:ascii="黑体" w:hAnsi="黑体" w:eastAsia="黑体" w:cs="黑体"/>
          <w:b/>
          <w:bCs/>
          <w:i w:val="0"/>
          <w:iCs w:val="0"/>
          <w:caps w:val="0"/>
          <w:color w:val="000000" w:themeColor="text1"/>
          <w:spacing w:val="0"/>
          <w:sz w:val="36"/>
          <w:szCs w:val="36"/>
          <w:u w:val="none"/>
          <w:lang w:val="en-US" w:eastAsia="zh-CN"/>
          <w14:textFill>
            <w14:solidFill>
              <w14:schemeClr w14:val="tx1"/>
            </w14:solidFill>
          </w14:textFill>
        </w:rPr>
        <w:t>2</w:t>
      </w:r>
      <w:r>
        <w:rPr>
          <w:rFonts w:hint="eastAsia" w:ascii="黑体" w:hAnsi="黑体" w:eastAsia="黑体" w:cs="黑体"/>
          <w:b/>
          <w:bCs/>
          <w:i w:val="0"/>
          <w:iCs w:val="0"/>
          <w:caps w:val="0"/>
          <w:color w:val="000000" w:themeColor="text1"/>
          <w:spacing w:val="0"/>
          <w:sz w:val="36"/>
          <w:szCs w:val="36"/>
          <w:u w:val="none"/>
          <w14:textFill>
            <w14:solidFill>
              <w14:schemeClr w14:val="tx1"/>
            </w14:solidFill>
          </w14:textFill>
        </w:rPr>
        <w:t>年政府信息公开工作年度报告</w:t>
      </w:r>
      <w:r>
        <w:rPr>
          <w:rFonts w:hint="eastAsia" w:ascii="黑体" w:hAnsi="黑体" w:eastAsia="黑体" w:cs="黑体"/>
          <w:b/>
          <w:bCs/>
          <w:i w:val="0"/>
          <w:iCs w:val="0"/>
          <w:caps w:val="0"/>
          <w:color w:val="000000" w:themeColor="text1"/>
          <w:spacing w:val="0"/>
          <w:sz w:val="36"/>
          <w:szCs w:val="36"/>
          <w:u w:val="none"/>
          <w:shd w:val="clear" w:fill="FFFFFF"/>
          <w14:textFill>
            <w14:solidFill>
              <w14:schemeClr w14:val="tx1"/>
            </w14:solidFill>
          </w14:textFill>
        </w:rPr>
        <w:t>》的解读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kern w:val="0"/>
          <w:sz w:val="32"/>
          <w:szCs w:val="32"/>
          <w:u w:val="none"/>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2023年1月20日，泰安市财政局对《</w:t>
      </w:r>
      <w:r>
        <w:rPr>
          <w:rFonts w:hint="eastAsia" w:ascii="仿宋" w:hAnsi="仿宋" w:eastAsia="仿宋" w:cs="仿宋"/>
          <w:b w:val="0"/>
          <w:bCs w:val="0"/>
          <w:i w:val="0"/>
          <w:iCs w:val="0"/>
          <w:caps w:val="0"/>
          <w:color w:val="000000" w:themeColor="text1"/>
          <w:spacing w:val="0"/>
          <w:sz w:val="32"/>
          <w:szCs w:val="32"/>
          <w:u w:val="none"/>
          <w14:textFill>
            <w14:solidFill>
              <w14:schemeClr w14:val="tx1"/>
            </w14:solidFill>
          </w14:textFill>
        </w:rPr>
        <w:t>泰安市财政局20</w:t>
      </w:r>
      <w:r>
        <w:rPr>
          <w:rFonts w:hint="eastAsia" w:ascii="仿宋" w:hAnsi="仿宋" w:eastAsia="仿宋" w:cs="仿宋"/>
          <w:b w:val="0"/>
          <w:bCs w:val="0"/>
          <w:i w:val="0"/>
          <w:iCs w:val="0"/>
          <w:caps w:val="0"/>
          <w:color w:val="000000" w:themeColor="text1"/>
          <w:spacing w:val="0"/>
          <w:sz w:val="32"/>
          <w:szCs w:val="32"/>
          <w:u w:val="none"/>
          <w:lang w:val="en-US" w:eastAsia="zh-CN"/>
          <w14:textFill>
            <w14:solidFill>
              <w14:schemeClr w14:val="tx1"/>
            </w14:solidFill>
          </w14:textFill>
        </w:rPr>
        <w:t>22</w:t>
      </w:r>
      <w:r>
        <w:rPr>
          <w:rFonts w:hint="eastAsia" w:ascii="仿宋" w:hAnsi="仿宋" w:eastAsia="仿宋" w:cs="仿宋"/>
          <w:b w:val="0"/>
          <w:bCs w:val="0"/>
          <w:i w:val="0"/>
          <w:iCs w:val="0"/>
          <w:caps w:val="0"/>
          <w:color w:val="000000" w:themeColor="text1"/>
          <w:spacing w:val="0"/>
          <w:sz w:val="32"/>
          <w:szCs w:val="32"/>
          <w:u w:val="none"/>
          <w14:textFill>
            <w14:solidFill>
              <w14:schemeClr w14:val="tx1"/>
            </w14:solidFill>
          </w14:textFill>
        </w:rPr>
        <w:t>年政府信息公开工作年度报告</w:t>
      </w: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》进行如下解读：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both"/>
        <w:rPr>
          <w:rFonts w:hint="eastAsia" w:ascii="黑体" w:hAnsi="黑体" w:eastAsia="黑体" w:cs="黑体"/>
          <w:b/>
          <w:bCs/>
          <w:i w:val="0"/>
          <w:iCs w:val="0"/>
          <w:caps w:val="0"/>
          <w:color w:val="333333"/>
          <w:spacing w:val="0"/>
          <w:kern w:val="0"/>
          <w:sz w:val="32"/>
          <w:szCs w:val="32"/>
          <w:u w:val="none"/>
          <w:shd w:val="clear" w:fill="FFFFFF"/>
          <w:lang w:val="en-US" w:eastAsia="zh-CN" w:bidi="ar"/>
        </w:rPr>
      </w:pPr>
      <w:r>
        <w:rPr>
          <w:rFonts w:hint="eastAsia" w:ascii="黑体" w:hAnsi="黑体" w:eastAsia="黑体" w:cs="黑体"/>
          <w:b/>
          <w:bCs/>
          <w:i w:val="0"/>
          <w:iCs w:val="0"/>
          <w:caps w:val="0"/>
          <w:color w:val="333333"/>
          <w:spacing w:val="0"/>
          <w:kern w:val="0"/>
          <w:sz w:val="32"/>
          <w:szCs w:val="32"/>
          <w:u w:val="none"/>
          <w:shd w:val="clear" w:fill="FFFFFF"/>
          <w:lang w:val="en-US" w:eastAsia="zh-CN" w:bidi="ar"/>
        </w:rPr>
        <w:t>一、制定背景和依据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lang w:val="en-US"/>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泰安市财政局严格落实《中华人民共和国政府信息公开条例》，按照《泰安市人民政府办公室关于印发泰安市2022年政务公开重点工作任务分工的通知》的各项重点工作任务，部署全局年度工作任务，并结合我局实际情况，制定本年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both"/>
        <w:rPr>
          <w:rFonts w:hint="eastAsia" w:ascii="黑体" w:hAnsi="黑体" w:eastAsia="黑体" w:cs="黑体"/>
          <w:b/>
          <w:bCs/>
          <w:i w:val="0"/>
          <w:iCs w:val="0"/>
          <w:caps w:val="0"/>
          <w:color w:val="333333"/>
          <w:spacing w:val="0"/>
          <w:kern w:val="0"/>
          <w:sz w:val="32"/>
          <w:szCs w:val="32"/>
          <w:u w:val="none"/>
          <w:shd w:val="clear" w:fill="FFFFFF"/>
          <w:lang w:val="en-US" w:eastAsia="zh-CN" w:bidi="ar"/>
        </w:rPr>
      </w:pPr>
      <w:r>
        <w:rPr>
          <w:rFonts w:hint="eastAsia" w:ascii="黑体" w:hAnsi="黑体" w:eastAsia="黑体" w:cs="黑体"/>
          <w:b/>
          <w:bCs/>
          <w:i w:val="0"/>
          <w:iCs w:val="0"/>
          <w:caps w:val="0"/>
          <w:color w:val="333333"/>
          <w:spacing w:val="0"/>
          <w:kern w:val="0"/>
          <w:sz w:val="32"/>
          <w:szCs w:val="32"/>
          <w:u w:val="none"/>
          <w:shd w:val="clear" w:fill="FFFFFF"/>
          <w:lang w:val="en-US" w:eastAsia="zh-CN" w:bidi="ar"/>
        </w:rPr>
        <w:t>二、制定意义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政府信息公开年度报告是全面反映政府信息公开工作情况，加强政府信息管理、展现政府施政过程及结果的重要方式，公开年度政府信息公开年度报告大幅度方便了群众了解政府信息公开工作全貌。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both"/>
        <w:rPr>
          <w:rFonts w:hint="eastAsia" w:ascii="黑体" w:hAnsi="黑体" w:eastAsia="黑体" w:cs="黑体"/>
          <w:b/>
          <w:bCs/>
          <w:i w:val="0"/>
          <w:iCs w:val="0"/>
          <w:caps w:val="0"/>
          <w:color w:val="333333"/>
          <w:spacing w:val="0"/>
          <w:kern w:val="0"/>
          <w:sz w:val="32"/>
          <w:szCs w:val="32"/>
          <w:u w:val="none"/>
          <w:shd w:val="clear" w:fill="FFFFFF"/>
          <w:lang w:val="en-US" w:eastAsia="zh-CN" w:bidi="ar"/>
        </w:rPr>
      </w:pPr>
      <w:r>
        <w:rPr>
          <w:rFonts w:hint="eastAsia" w:ascii="黑体" w:hAnsi="黑体" w:eastAsia="黑体" w:cs="黑体"/>
          <w:b/>
          <w:bCs/>
          <w:i w:val="0"/>
          <w:iCs w:val="0"/>
          <w:caps w:val="0"/>
          <w:color w:val="333333"/>
          <w:spacing w:val="0"/>
          <w:kern w:val="0"/>
          <w:sz w:val="32"/>
          <w:szCs w:val="32"/>
          <w:u w:val="none"/>
          <w:shd w:val="clear" w:fill="FFFFFF"/>
          <w:lang w:val="en-US" w:eastAsia="zh-CN" w:bidi="ar"/>
        </w:rPr>
        <w:t>三、工作任务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强化重点领域解读、提升解读质量、完善解读方式，</w:t>
      </w:r>
      <w:r>
        <w:rPr>
          <w:rFonts w:hint="eastAsia" w:ascii="仿宋" w:hAnsi="仿宋" w:eastAsia="仿宋" w:cs="仿宋"/>
          <w:b w:val="0"/>
          <w:bCs w:val="0"/>
          <w:i w:val="0"/>
          <w:iCs w:val="0"/>
          <w:caps w:val="0"/>
          <w:color w:val="333333"/>
          <w:spacing w:val="0"/>
          <w:sz w:val="32"/>
          <w:szCs w:val="32"/>
          <w:u w:val="none"/>
          <w:shd w:val="clear" w:fill="FFFFFF"/>
        </w:rPr>
        <w:t>坚持以提升政务公开质量为主线，深化重点领域信息公开</w:t>
      </w:r>
      <w:r>
        <w:rPr>
          <w:rFonts w:hint="eastAsia" w:ascii="仿宋" w:hAnsi="仿宋" w:eastAsia="仿宋" w:cs="仿宋"/>
          <w:b w:val="0"/>
          <w:bCs w:val="0"/>
          <w:i w:val="0"/>
          <w:iCs w:val="0"/>
          <w:caps w:val="0"/>
          <w:color w:val="333333"/>
          <w:spacing w:val="0"/>
          <w:sz w:val="32"/>
          <w:szCs w:val="32"/>
          <w:u w:val="none"/>
          <w:shd w:val="clear" w:fill="FFFFFF"/>
          <w:lang w:eastAsia="zh-CN"/>
        </w:rPr>
        <w:t>。</w:t>
      </w:r>
      <w:r>
        <w:rPr>
          <w:rFonts w:hint="eastAsia" w:ascii="仿宋" w:hAnsi="仿宋" w:eastAsia="仿宋" w:cs="仿宋"/>
          <w:b w:val="0"/>
          <w:bCs w:val="0"/>
          <w:i w:val="0"/>
          <w:iCs w:val="0"/>
          <w:caps w:val="0"/>
          <w:color w:val="333333"/>
          <w:spacing w:val="0"/>
          <w:sz w:val="32"/>
          <w:szCs w:val="32"/>
          <w:u w:val="none"/>
          <w:shd w:val="clear" w:fill="FFFFFF"/>
        </w:rPr>
        <w:t>创新创造公开方式，全面推进权力运行全流程、政务服务全过程公开，政府信息公开工作持续深入推进</w:t>
      </w:r>
      <w:r>
        <w:rPr>
          <w:rFonts w:hint="eastAsia" w:ascii="仿宋" w:hAnsi="仿宋" w:eastAsia="仿宋" w:cs="仿宋"/>
          <w:b w:val="0"/>
          <w:bCs w:val="0"/>
          <w:i w:val="0"/>
          <w:iCs w:val="0"/>
          <w:caps w:val="0"/>
          <w:color w:val="333333"/>
          <w:spacing w:val="0"/>
          <w:sz w:val="32"/>
          <w:szCs w:val="32"/>
          <w:u w:val="none"/>
          <w:shd w:val="clear" w:fill="FFFFFF"/>
          <w:lang w:eastAsia="zh-CN"/>
        </w:rPr>
        <w:t>，</w:t>
      </w: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全面深入完善政务公开标准化规范化。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both"/>
        <w:rPr>
          <w:rFonts w:hint="eastAsia" w:ascii="黑体" w:hAnsi="黑体" w:eastAsia="黑体" w:cs="黑体"/>
          <w:b/>
          <w:bCs/>
          <w:i w:val="0"/>
          <w:iCs w:val="0"/>
          <w:caps w:val="0"/>
          <w:color w:val="333333"/>
          <w:spacing w:val="0"/>
          <w:kern w:val="0"/>
          <w:sz w:val="32"/>
          <w:szCs w:val="32"/>
          <w:u w:val="none"/>
          <w:shd w:val="clear" w:fill="FFFFFF"/>
          <w:lang w:val="en-US" w:eastAsia="zh-CN" w:bidi="ar"/>
        </w:rPr>
      </w:pPr>
      <w:r>
        <w:rPr>
          <w:rFonts w:hint="eastAsia" w:ascii="黑体" w:hAnsi="黑体" w:eastAsia="黑体" w:cs="黑体"/>
          <w:b/>
          <w:bCs/>
          <w:i w:val="0"/>
          <w:iCs w:val="0"/>
          <w:caps w:val="0"/>
          <w:color w:val="333333"/>
          <w:spacing w:val="0"/>
          <w:kern w:val="0"/>
          <w:sz w:val="32"/>
          <w:szCs w:val="32"/>
          <w:u w:val="none"/>
          <w:shd w:val="clear" w:fill="FFFFFF"/>
          <w:lang w:val="en-US" w:eastAsia="zh-CN" w:bidi="ar"/>
        </w:rPr>
        <w:t>四、主要内容</w:t>
      </w:r>
    </w:p>
    <w:p>
      <w:pPr>
        <w:numPr>
          <w:ilvl w:val="0"/>
          <w:numId w:val="0"/>
        </w:numPr>
        <w:ind w:firstLine="640" w:firstLineChars="200"/>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1、</w:t>
      </w:r>
      <w:r>
        <w:rPr>
          <w:rFonts w:hint="eastAsia" w:ascii="仿宋" w:hAnsi="仿宋" w:eastAsia="仿宋" w:cs="仿宋"/>
          <w:i w:val="0"/>
          <w:iCs w:val="0"/>
          <w:caps w:val="0"/>
          <w:color w:val="000000"/>
          <w:spacing w:val="0"/>
          <w:sz w:val="31"/>
          <w:szCs w:val="31"/>
          <w:shd w:val="clear" w:fill="FFFFFF"/>
          <w:lang w:val="en-US" w:eastAsia="zh-CN"/>
        </w:rPr>
        <w:t>2022年，市财政局</w:t>
      </w:r>
      <w:r>
        <w:rPr>
          <w:rFonts w:hint="eastAsia" w:ascii="仿宋" w:hAnsi="仿宋" w:eastAsia="仿宋" w:cs="仿宋"/>
          <w:i w:val="0"/>
          <w:iCs w:val="0"/>
          <w:caps w:val="0"/>
          <w:color w:val="000000"/>
          <w:spacing w:val="0"/>
          <w:sz w:val="31"/>
          <w:szCs w:val="31"/>
          <w:shd w:val="clear" w:fill="FFFFFF"/>
        </w:rPr>
        <w:t>围绕财政资金、减税降费、民生工程等重点领域，全方位、全流程公开财政预决算和“三公”经费、专项资金、直达资金、政府性债务等财政重点信息，同步建立信息审查、维护责任机制，明确责任科室和责任人，常态化更新信息</w:t>
      </w:r>
      <w:r>
        <w:rPr>
          <w:rFonts w:hint="eastAsia" w:ascii="仿宋" w:hAnsi="仿宋" w:eastAsia="仿宋" w:cs="仿宋"/>
          <w:i w:val="0"/>
          <w:iCs w:val="0"/>
          <w:caps w:val="0"/>
          <w:color w:val="0000FF"/>
          <w:spacing w:val="0"/>
          <w:sz w:val="31"/>
          <w:szCs w:val="31"/>
          <w:shd w:val="clear" w:fill="FFFFFF"/>
        </w:rPr>
        <w:t>。</w:t>
      </w:r>
      <w:r>
        <w:rPr>
          <w:rFonts w:hint="eastAsia" w:ascii="仿宋" w:hAnsi="仿宋" w:eastAsia="仿宋" w:cs="仿宋"/>
          <w:i w:val="0"/>
          <w:iCs w:val="0"/>
          <w:caps w:val="0"/>
          <w:color w:val="0000FF"/>
          <w:spacing w:val="0"/>
          <w:sz w:val="31"/>
          <w:szCs w:val="31"/>
          <w:shd w:val="clear" w:fill="FFFFFF"/>
          <w:lang w:val="en-US" w:eastAsia="zh-CN"/>
        </w:rPr>
        <w:t>2022</w:t>
      </w:r>
      <w:bookmarkStart w:id="0" w:name="_GoBack"/>
      <w:bookmarkEnd w:id="0"/>
      <w:r>
        <w:rPr>
          <w:rFonts w:hint="eastAsia" w:ascii="仿宋" w:hAnsi="仿宋" w:eastAsia="仿宋" w:cs="仿宋"/>
          <w:i w:val="0"/>
          <w:iCs w:val="0"/>
          <w:caps w:val="0"/>
          <w:color w:val="0000FF"/>
          <w:spacing w:val="0"/>
          <w:sz w:val="31"/>
          <w:szCs w:val="31"/>
          <w:shd w:val="clear" w:fill="FFFFFF"/>
          <w:lang w:val="en-US" w:eastAsia="zh-CN"/>
        </w:rPr>
        <w:t>年全年</w:t>
      </w:r>
      <w:r>
        <w:rPr>
          <w:rFonts w:hint="eastAsia" w:ascii="仿宋" w:hAnsi="仿宋" w:eastAsia="仿宋" w:cs="仿宋"/>
          <w:i w:val="0"/>
          <w:iCs w:val="0"/>
          <w:caps w:val="0"/>
          <w:color w:val="000000"/>
          <w:spacing w:val="0"/>
          <w:sz w:val="31"/>
          <w:szCs w:val="31"/>
          <w:shd w:val="clear" w:fill="FFFFFF"/>
        </w:rPr>
        <w:t>主动公开信息</w:t>
      </w:r>
      <w:r>
        <w:rPr>
          <w:rFonts w:hint="eastAsia" w:ascii="仿宋" w:hAnsi="仿宋" w:eastAsia="仿宋" w:cs="仿宋"/>
          <w:i w:val="0"/>
          <w:iCs w:val="0"/>
          <w:caps w:val="0"/>
          <w:color w:val="000000"/>
          <w:spacing w:val="0"/>
          <w:sz w:val="31"/>
          <w:szCs w:val="31"/>
          <w:shd w:val="clear" w:fill="FFFFFF"/>
          <w:lang w:val="en-US" w:eastAsia="zh-CN"/>
        </w:rPr>
        <w:t>890</w:t>
      </w:r>
      <w:r>
        <w:rPr>
          <w:rFonts w:hint="eastAsia" w:ascii="仿宋" w:hAnsi="仿宋" w:eastAsia="仿宋" w:cs="仿宋"/>
          <w:i w:val="0"/>
          <w:iCs w:val="0"/>
          <w:caps w:val="0"/>
          <w:color w:val="000000"/>
          <w:spacing w:val="0"/>
          <w:sz w:val="31"/>
          <w:szCs w:val="31"/>
          <w:shd w:val="clear" w:fill="FFFFFF"/>
        </w:rPr>
        <w:t>条，其中：机构概况信息</w:t>
      </w:r>
      <w:r>
        <w:rPr>
          <w:rFonts w:hint="eastAsia" w:ascii="仿宋" w:hAnsi="仿宋" w:eastAsia="仿宋" w:cs="仿宋"/>
          <w:i w:val="0"/>
          <w:iCs w:val="0"/>
          <w:caps w:val="0"/>
          <w:color w:val="000000"/>
          <w:spacing w:val="0"/>
          <w:sz w:val="31"/>
          <w:szCs w:val="31"/>
          <w:shd w:val="clear" w:fill="FFFFFF"/>
          <w:lang w:val="en-US" w:eastAsia="zh-CN"/>
        </w:rPr>
        <w:t>6</w:t>
      </w:r>
      <w:r>
        <w:rPr>
          <w:rFonts w:hint="eastAsia" w:ascii="仿宋" w:hAnsi="仿宋" w:eastAsia="仿宋" w:cs="仿宋"/>
          <w:i w:val="0"/>
          <w:iCs w:val="0"/>
          <w:caps w:val="0"/>
          <w:color w:val="000000"/>
          <w:spacing w:val="0"/>
          <w:sz w:val="31"/>
          <w:szCs w:val="31"/>
          <w:shd w:val="clear" w:fill="FFFFFF"/>
        </w:rPr>
        <w:t>条；政府预决算信息</w:t>
      </w:r>
      <w:r>
        <w:rPr>
          <w:rFonts w:hint="eastAsia" w:ascii="仿宋" w:hAnsi="仿宋" w:eastAsia="仿宋" w:cs="仿宋"/>
          <w:i w:val="0"/>
          <w:iCs w:val="0"/>
          <w:caps w:val="0"/>
          <w:color w:val="000000"/>
          <w:spacing w:val="0"/>
          <w:sz w:val="31"/>
          <w:szCs w:val="31"/>
          <w:shd w:val="clear" w:fill="FFFFFF"/>
          <w:lang w:val="en-US" w:eastAsia="zh-CN"/>
        </w:rPr>
        <w:t>568</w:t>
      </w:r>
      <w:r>
        <w:rPr>
          <w:rFonts w:hint="eastAsia" w:ascii="仿宋" w:hAnsi="仿宋" w:eastAsia="仿宋" w:cs="仿宋"/>
          <w:i w:val="0"/>
          <w:iCs w:val="0"/>
          <w:caps w:val="0"/>
          <w:color w:val="000000"/>
          <w:spacing w:val="0"/>
          <w:sz w:val="31"/>
          <w:szCs w:val="31"/>
          <w:shd w:val="clear" w:fill="FFFFFF"/>
        </w:rPr>
        <w:t>条；财政收支信息</w:t>
      </w:r>
      <w:r>
        <w:rPr>
          <w:rFonts w:hint="eastAsia" w:ascii="仿宋" w:hAnsi="仿宋" w:eastAsia="仿宋" w:cs="仿宋"/>
          <w:i w:val="0"/>
          <w:iCs w:val="0"/>
          <w:caps w:val="0"/>
          <w:color w:val="000000"/>
          <w:spacing w:val="0"/>
          <w:sz w:val="31"/>
          <w:szCs w:val="31"/>
          <w:shd w:val="clear" w:fill="FFFFFF"/>
          <w:lang w:val="en-US" w:eastAsia="zh-CN"/>
        </w:rPr>
        <w:t>12</w:t>
      </w:r>
      <w:r>
        <w:rPr>
          <w:rFonts w:hint="eastAsia" w:ascii="仿宋" w:hAnsi="仿宋" w:eastAsia="仿宋" w:cs="仿宋"/>
          <w:i w:val="0"/>
          <w:iCs w:val="0"/>
          <w:caps w:val="0"/>
          <w:color w:val="000000"/>
          <w:spacing w:val="0"/>
          <w:sz w:val="31"/>
          <w:szCs w:val="31"/>
          <w:shd w:val="clear" w:fill="FFFFFF"/>
        </w:rPr>
        <w:t>条，财政收支信息解读</w:t>
      </w:r>
      <w:r>
        <w:rPr>
          <w:rFonts w:hint="eastAsia" w:ascii="仿宋" w:hAnsi="仿宋" w:eastAsia="仿宋" w:cs="仿宋"/>
          <w:i w:val="0"/>
          <w:iCs w:val="0"/>
          <w:caps w:val="0"/>
          <w:color w:val="000000"/>
          <w:spacing w:val="0"/>
          <w:sz w:val="31"/>
          <w:szCs w:val="31"/>
          <w:shd w:val="clear" w:fill="FFFFFF"/>
          <w:lang w:val="en-US" w:eastAsia="zh-CN"/>
        </w:rPr>
        <w:t>4</w:t>
      </w:r>
      <w:r>
        <w:rPr>
          <w:rFonts w:hint="eastAsia" w:ascii="仿宋" w:hAnsi="仿宋" w:eastAsia="仿宋" w:cs="仿宋"/>
          <w:i w:val="0"/>
          <w:iCs w:val="0"/>
          <w:caps w:val="0"/>
          <w:color w:val="000000"/>
          <w:spacing w:val="0"/>
          <w:sz w:val="31"/>
          <w:szCs w:val="31"/>
          <w:shd w:val="clear" w:fill="FFFFFF"/>
        </w:rPr>
        <w:t>条；决策公开类信息</w:t>
      </w:r>
      <w:r>
        <w:rPr>
          <w:rFonts w:hint="eastAsia" w:ascii="仿宋" w:hAnsi="仿宋" w:eastAsia="仿宋" w:cs="仿宋"/>
          <w:i w:val="0"/>
          <w:iCs w:val="0"/>
          <w:caps w:val="0"/>
          <w:color w:val="000000"/>
          <w:spacing w:val="0"/>
          <w:sz w:val="31"/>
          <w:szCs w:val="31"/>
          <w:shd w:val="clear" w:fill="FFFFFF"/>
          <w:lang w:val="en-US" w:eastAsia="zh-CN"/>
        </w:rPr>
        <w:t>18</w:t>
      </w:r>
      <w:r>
        <w:rPr>
          <w:rFonts w:hint="eastAsia" w:ascii="仿宋" w:hAnsi="仿宋" w:eastAsia="仿宋" w:cs="仿宋"/>
          <w:i w:val="0"/>
          <w:iCs w:val="0"/>
          <w:caps w:val="0"/>
          <w:color w:val="000000"/>
          <w:spacing w:val="0"/>
          <w:sz w:val="31"/>
          <w:szCs w:val="31"/>
          <w:shd w:val="clear" w:fill="FFFFFF"/>
        </w:rPr>
        <w:t>条；执行公开类信息</w:t>
      </w:r>
      <w:r>
        <w:rPr>
          <w:rFonts w:hint="eastAsia" w:ascii="仿宋" w:hAnsi="仿宋" w:eastAsia="仿宋" w:cs="仿宋"/>
          <w:i w:val="0"/>
          <w:iCs w:val="0"/>
          <w:caps w:val="0"/>
          <w:color w:val="000000"/>
          <w:spacing w:val="0"/>
          <w:sz w:val="31"/>
          <w:szCs w:val="31"/>
          <w:shd w:val="clear" w:fill="FFFFFF"/>
          <w:lang w:val="en-US" w:eastAsia="zh-CN"/>
        </w:rPr>
        <w:t>56</w:t>
      </w:r>
      <w:r>
        <w:rPr>
          <w:rFonts w:hint="eastAsia" w:ascii="仿宋" w:hAnsi="仿宋" w:eastAsia="仿宋" w:cs="仿宋"/>
          <w:i w:val="0"/>
          <w:iCs w:val="0"/>
          <w:caps w:val="0"/>
          <w:color w:val="000000"/>
          <w:spacing w:val="0"/>
          <w:sz w:val="31"/>
          <w:szCs w:val="31"/>
          <w:shd w:val="clear" w:fill="FFFFFF"/>
        </w:rPr>
        <w:t>条；管理公开类信息</w:t>
      </w:r>
      <w:r>
        <w:rPr>
          <w:rFonts w:hint="eastAsia" w:ascii="仿宋" w:hAnsi="仿宋" w:eastAsia="仿宋" w:cs="仿宋"/>
          <w:i w:val="0"/>
          <w:iCs w:val="0"/>
          <w:caps w:val="0"/>
          <w:color w:val="000000"/>
          <w:spacing w:val="0"/>
          <w:sz w:val="31"/>
          <w:szCs w:val="31"/>
          <w:shd w:val="clear" w:fill="FFFFFF"/>
          <w:lang w:val="en-US" w:eastAsia="zh-CN"/>
        </w:rPr>
        <w:t>38</w:t>
      </w:r>
      <w:r>
        <w:rPr>
          <w:rFonts w:hint="eastAsia" w:ascii="仿宋" w:hAnsi="仿宋" w:eastAsia="仿宋" w:cs="仿宋"/>
          <w:i w:val="0"/>
          <w:iCs w:val="0"/>
          <w:caps w:val="0"/>
          <w:color w:val="000000"/>
          <w:spacing w:val="0"/>
          <w:sz w:val="31"/>
          <w:szCs w:val="31"/>
          <w:shd w:val="clear" w:fill="FFFFFF"/>
        </w:rPr>
        <w:t>条</w:t>
      </w:r>
      <w:r>
        <w:rPr>
          <w:rFonts w:hint="eastAsia" w:ascii="仿宋" w:hAnsi="仿宋" w:eastAsia="仿宋" w:cs="仿宋"/>
          <w:i w:val="0"/>
          <w:iCs w:val="0"/>
          <w:caps w:val="0"/>
          <w:color w:val="000000"/>
          <w:spacing w:val="0"/>
          <w:sz w:val="31"/>
          <w:szCs w:val="31"/>
          <w:shd w:val="clear" w:fill="FFFFFF"/>
          <w:lang w:eastAsia="zh-CN"/>
        </w:rPr>
        <w:t>。</w:t>
      </w:r>
    </w:p>
    <w:p>
      <w:pPr>
        <w:pStyle w:val="3"/>
        <w:keepNext w:val="0"/>
        <w:keepLines w:val="0"/>
        <w:widowControl/>
        <w:numPr>
          <w:ilvl w:val="0"/>
          <w:numId w:val="0"/>
        </w:numPr>
        <w:suppressLineNumbers w:val="0"/>
        <w:spacing w:before="0" w:beforeAutospacing="0" w:after="0" w:afterAutospacing="0" w:line="420" w:lineRule="atLeast"/>
        <w:ind w:left="0" w:leftChars="0" w:right="0" w:rightChars="0" w:firstLine="640" w:firstLineChars="200"/>
        <w:jc w:val="left"/>
        <w:rPr>
          <w:rFonts w:hint="eastAsia" w:ascii="仿宋_GB2312" w:eastAsia="仿宋_GB2312"/>
          <w:color w:val="auto"/>
          <w:sz w:val="32"/>
          <w:szCs w:val="32"/>
          <w:lang w:val="en-US" w:eastAsia="zh-CN"/>
        </w:rPr>
      </w:pPr>
      <w:r>
        <w:rPr>
          <w:rFonts w:hint="eastAsia" w:ascii="仿宋" w:hAnsi="仿宋" w:eastAsia="仿宋" w:cs="仿宋"/>
          <w:b w:val="0"/>
          <w:bCs w:val="0"/>
          <w:i w:val="0"/>
          <w:iCs w:val="0"/>
          <w:caps w:val="0"/>
          <w:color w:val="333333"/>
          <w:spacing w:val="0"/>
          <w:sz w:val="32"/>
          <w:szCs w:val="32"/>
          <w:u w:val="none"/>
          <w:shd w:val="clear" w:fill="FFFFFF"/>
          <w:lang w:val="en-US" w:eastAsia="zh-CN"/>
        </w:rPr>
        <w:t>2、</w:t>
      </w:r>
      <w:r>
        <w:rPr>
          <w:rFonts w:hint="eastAsia" w:ascii="仿宋" w:hAnsi="仿宋" w:eastAsia="仿宋" w:cs="仿宋"/>
          <w:i w:val="0"/>
          <w:iCs w:val="0"/>
          <w:caps w:val="0"/>
          <w:color w:val="000000"/>
          <w:spacing w:val="0"/>
          <w:sz w:val="31"/>
          <w:szCs w:val="31"/>
          <w:shd w:val="clear" w:fill="FFFFFF"/>
        </w:rPr>
        <w:t>202</w:t>
      </w:r>
      <w:r>
        <w:rPr>
          <w:rFonts w:hint="eastAsia" w:ascii="仿宋" w:hAnsi="仿宋" w:eastAsia="仿宋" w:cs="仿宋"/>
          <w:i w:val="0"/>
          <w:iCs w:val="0"/>
          <w:caps w:val="0"/>
          <w:color w:val="000000"/>
          <w:spacing w:val="0"/>
          <w:sz w:val="31"/>
          <w:szCs w:val="31"/>
          <w:shd w:val="clear" w:fill="FFFFFF"/>
          <w:lang w:val="en-US" w:eastAsia="zh-CN"/>
        </w:rPr>
        <w:t>2</w:t>
      </w:r>
      <w:r>
        <w:rPr>
          <w:rFonts w:hint="eastAsia" w:ascii="仿宋" w:hAnsi="仿宋" w:eastAsia="仿宋" w:cs="仿宋"/>
          <w:i w:val="0"/>
          <w:iCs w:val="0"/>
          <w:caps w:val="0"/>
          <w:color w:val="000000"/>
          <w:spacing w:val="0"/>
          <w:sz w:val="31"/>
          <w:szCs w:val="31"/>
          <w:shd w:val="clear" w:fill="FFFFFF"/>
        </w:rPr>
        <w:t>年，市财政局坚决贯彻政府信息公开工作制度，依法依规开展政府信息依申请公开工作</w:t>
      </w:r>
      <w:r>
        <w:rPr>
          <w:rFonts w:hint="eastAsia" w:ascii="仿宋" w:hAnsi="仿宋" w:eastAsia="仿宋" w:cs="仿宋"/>
          <w:i w:val="0"/>
          <w:iCs w:val="0"/>
          <w:caps w:val="0"/>
          <w:color w:val="000000"/>
          <w:spacing w:val="0"/>
          <w:sz w:val="31"/>
          <w:szCs w:val="31"/>
          <w:shd w:val="clear" w:fill="FFFFFF"/>
          <w:lang w:eastAsia="zh-CN"/>
        </w:rPr>
        <w:t>，</w:t>
      </w:r>
      <w:r>
        <w:rPr>
          <w:rFonts w:hint="eastAsia" w:ascii="仿宋" w:hAnsi="仿宋" w:eastAsia="仿宋" w:cs="仿宋"/>
          <w:i w:val="0"/>
          <w:iCs w:val="0"/>
          <w:caps w:val="0"/>
          <w:color w:val="000000"/>
          <w:spacing w:val="0"/>
          <w:sz w:val="31"/>
          <w:szCs w:val="31"/>
          <w:shd w:val="clear" w:fill="FFFFFF"/>
        </w:rPr>
        <w:t>全年共收到依申请</w:t>
      </w:r>
      <w:r>
        <w:rPr>
          <w:rFonts w:hint="eastAsia" w:ascii="仿宋" w:hAnsi="仿宋" w:eastAsia="仿宋" w:cs="仿宋"/>
          <w:i w:val="0"/>
          <w:iCs w:val="0"/>
          <w:caps w:val="0"/>
          <w:color w:val="000000"/>
          <w:spacing w:val="0"/>
          <w:sz w:val="31"/>
          <w:szCs w:val="31"/>
          <w:shd w:val="clear" w:fill="FFFFFF"/>
          <w:lang w:val="en-US" w:eastAsia="zh-CN"/>
        </w:rPr>
        <w:t>公开</w:t>
      </w:r>
      <w:r>
        <w:rPr>
          <w:rFonts w:hint="eastAsia" w:ascii="仿宋" w:hAnsi="仿宋" w:eastAsia="仿宋" w:cs="仿宋"/>
          <w:i w:val="0"/>
          <w:iCs w:val="0"/>
          <w:caps w:val="0"/>
          <w:color w:val="000000"/>
          <w:spacing w:val="0"/>
          <w:sz w:val="31"/>
          <w:szCs w:val="31"/>
          <w:shd w:val="clear" w:fill="FFFFFF"/>
        </w:rPr>
        <w:t>信息12条，其中</w:t>
      </w:r>
      <w:r>
        <w:rPr>
          <w:rFonts w:hint="eastAsia" w:ascii="仿宋" w:hAnsi="仿宋" w:eastAsia="仿宋" w:cs="仿宋"/>
          <w:i w:val="0"/>
          <w:iCs w:val="0"/>
          <w:caps w:val="0"/>
          <w:color w:val="000000"/>
          <w:spacing w:val="0"/>
          <w:sz w:val="31"/>
          <w:szCs w:val="31"/>
          <w:shd w:val="clear" w:fill="FFFFFF"/>
          <w:lang w:eastAsia="zh-CN"/>
        </w:rPr>
        <w:t>：</w:t>
      </w:r>
      <w:r>
        <w:rPr>
          <w:rFonts w:hint="eastAsia" w:ascii="仿宋" w:hAnsi="仿宋" w:eastAsia="仿宋" w:cs="仿宋"/>
          <w:i w:val="0"/>
          <w:iCs w:val="0"/>
          <w:caps w:val="0"/>
          <w:color w:val="000000"/>
          <w:spacing w:val="0"/>
          <w:sz w:val="31"/>
          <w:szCs w:val="31"/>
        </w:rPr>
        <w:t>收到邮递依申请公开信息 </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 xml:space="preserve"> 条，信息公开平台依申请公开 1</w:t>
      </w:r>
      <w:r>
        <w:rPr>
          <w:rFonts w:hint="eastAsia" w:ascii="仿宋" w:hAnsi="仿宋" w:eastAsia="仿宋" w:cs="仿宋"/>
          <w:i w:val="0"/>
          <w:iCs w:val="0"/>
          <w:caps w:val="0"/>
          <w:color w:val="000000"/>
          <w:spacing w:val="0"/>
          <w:sz w:val="31"/>
          <w:szCs w:val="31"/>
          <w:lang w:val="en-US" w:eastAsia="zh-CN"/>
        </w:rPr>
        <w:t>1</w:t>
      </w:r>
      <w:r>
        <w:rPr>
          <w:rFonts w:hint="eastAsia" w:ascii="仿宋" w:hAnsi="仿宋" w:eastAsia="仿宋" w:cs="仿宋"/>
          <w:i w:val="0"/>
          <w:iCs w:val="0"/>
          <w:caps w:val="0"/>
          <w:color w:val="000000"/>
          <w:spacing w:val="0"/>
          <w:sz w:val="31"/>
          <w:szCs w:val="31"/>
        </w:rPr>
        <w:t xml:space="preserve"> 条</w:t>
      </w:r>
      <w:r>
        <w:rPr>
          <w:rFonts w:hint="eastAsia" w:ascii="仿宋" w:hAnsi="仿宋" w:eastAsia="仿宋" w:cs="仿宋"/>
          <w:i w:val="0"/>
          <w:iCs w:val="0"/>
          <w:caps w:val="0"/>
          <w:color w:val="000000"/>
          <w:spacing w:val="0"/>
          <w:sz w:val="31"/>
          <w:szCs w:val="31"/>
          <w:lang w:eastAsia="zh-CN"/>
        </w:rPr>
        <w:t>，</w:t>
      </w:r>
      <w:r>
        <w:rPr>
          <w:rFonts w:hint="eastAsia" w:ascii="仿宋" w:hAnsi="仿宋" w:eastAsia="仿宋" w:cs="仿宋"/>
          <w:i w:val="0"/>
          <w:iCs w:val="0"/>
          <w:caps w:val="0"/>
          <w:color w:val="000000"/>
          <w:spacing w:val="0"/>
          <w:sz w:val="31"/>
          <w:szCs w:val="31"/>
        </w:rPr>
        <w:t>均在规定办理时限内准确答复，</w:t>
      </w:r>
      <w:r>
        <w:rPr>
          <w:rFonts w:hint="eastAsia" w:ascii="仿宋" w:hAnsi="仿宋" w:eastAsia="仿宋" w:cs="仿宋"/>
          <w:i w:val="0"/>
          <w:iCs w:val="0"/>
          <w:caps w:val="0"/>
          <w:color w:val="000000"/>
          <w:spacing w:val="0"/>
          <w:sz w:val="31"/>
          <w:szCs w:val="31"/>
          <w:shd w:val="clear" w:fill="FFFFFF"/>
        </w:rPr>
        <w:t>办结率100%。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both"/>
        <w:rPr>
          <w:rFonts w:hint="eastAsia" w:ascii="黑体" w:hAnsi="黑体" w:eastAsia="黑体" w:cs="黑体"/>
          <w:b/>
          <w:bCs/>
          <w:i w:val="0"/>
          <w:iCs w:val="0"/>
          <w:caps w:val="0"/>
          <w:color w:val="333333"/>
          <w:spacing w:val="0"/>
          <w:sz w:val="32"/>
          <w:szCs w:val="32"/>
          <w:u w:val="none"/>
        </w:rPr>
      </w:pPr>
      <w:r>
        <w:rPr>
          <w:rFonts w:hint="eastAsia" w:ascii="黑体" w:hAnsi="黑体" w:eastAsia="黑体" w:cs="黑体"/>
          <w:b/>
          <w:bCs/>
          <w:i w:val="0"/>
          <w:iCs w:val="0"/>
          <w:caps w:val="0"/>
          <w:color w:val="333333"/>
          <w:spacing w:val="0"/>
          <w:kern w:val="0"/>
          <w:sz w:val="32"/>
          <w:szCs w:val="32"/>
          <w:u w:val="none"/>
          <w:shd w:val="clear" w:fill="FFFFFF"/>
          <w:lang w:val="en-US" w:eastAsia="zh-CN" w:bidi="ar"/>
        </w:rPr>
        <w:t>五、保障措施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333333"/>
          <w:spacing w:val="0"/>
          <w:sz w:val="32"/>
          <w:szCs w:val="32"/>
          <w:u w:val="none"/>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市财政局及时按照省、市政务公开工作要求作出调整，保证公开信息的质量和准确性。同时，注重评估后整改推进工作，保证测评发现的问题得到及时有效的整改和提高。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both"/>
        <w:rPr>
          <w:rFonts w:hint="eastAsia" w:ascii="黑体" w:hAnsi="黑体" w:eastAsia="黑体" w:cs="黑体"/>
          <w:b/>
          <w:bCs/>
          <w:i w:val="0"/>
          <w:iCs w:val="0"/>
          <w:caps w:val="0"/>
          <w:color w:val="333333"/>
          <w:spacing w:val="0"/>
          <w:kern w:val="0"/>
          <w:sz w:val="32"/>
          <w:szCs w:val="32"/>
          <w:u w:val="none"/>
          <w:shd w:val="clear" w:fill="FFFFFF"/>
          <w:lang w:val="en-US" w:eastAsia="zh-CN" w:bidi="ar"/>
        </w:rPr>
      </w:pPr>
      <w:r>
        <w:rPr>
          <w:rFonts w:hint="eastAsia" w:ascii="黑体" w:hAnsi="黑体" w:eastAsia="黑体" w:cs="黑体"/>
          <w:b/>
          <w:bCs/>
          <w:i w:val="0"/>
          <w:iCs w:val="0"/>
          <w:caps w:val="0"/>
          <w:color w:val="333333"/>
          <w:spacing w:val="0"/>
          <w:kern w:val="0"/>
          <w:sz w:val="32"/>
          <w:szCs w:val="32"/>
          <w:u w:val="none"/>
          <w:shd w:val="clear" w:fill="FFFFFF"/>
          <w:lang w:val="en-US" w:eastAsia="zh-CN" w:bidi="ar"/>
        </w:rPr>
        <w:t> 六、下一步计划</w:t>
      </w:r>
    </w:p>
    <w:p>
      <w:pPr>
        <w:numPr>
          <w:ilvl w:val="0"/>
          <w:numId w:val="0"/>
        </w:numPr>
        <w:adjustRightInd w:val="0"/>
        <w:snapToGrid w:val="0"/>
        <w:spacing w:line="600" w:lineRule="exact"/>
        <w:ind w:left="0" w:leftChars="0" w:firstLine="726" w:firstLineChars="236"/>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1、强化发布解读时效。围绕公众普遍关心的预算公开、政府采购、社保缴纳、稳岗支持、减税降费退税等重大政策，根据配套政策，实施细则或具体措施出台情况，及时跟进宣传，做到出台一条，解读一条，让政策及时公开、深入人心，同时通过线下交流、定期组织培训等方式，宣讲最新政策和规定。</w:t>
      </w:r>
    </w:p>
    <w:p>
      <w:pPr>
        <w:numPr>
          <w:ilvl w:val="0"/>
          <w:numId w:val="0"/>
        </w:numPr>
        <w:adjustRightInd w:val="0"/>
        <w:snapToGrid w:val="0"/>
        <w:spacing w:line="600" w:lineRule="exact"/>
        <w:ind w:left="0" w:leftChars="0" w:firstLine="726" w:firstLineChars="236"/>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2、加大政务公开宣传力度。全面、及时、准确地主动公开财政信息，可以大大减少依申请公开数量，节约行政成本，提高工作效率，一方面加大财政信息主动公开工作力度，增强主动性、权威性和时效性；另一方面创新政务公开宣传载体和传播手段，以多媒体融合为重点，开发网络媒体、短视频等宣传方式，进行分众化、多样化传播、实现多渠道宣传、全方位覆盖，发出“财政好声音”。</w:t>
      </w:r>
    </w:p>
    <w:p>
      <w:pPr>
        <w:rPr>
          <w:rFonts w:hint="eastAsia" w:ascii="仿宋" w:hAnsi="仿宋" w:eastAsia="仿宋" w:cs="仿宋"/>
          <w:b w:val="0"/>
          <w:bCs w:val="0"/>
          <w:sz w:val="32"/>
          <w:szCs w:val="32"/>
          <w:u w:val="none"/>
        </w:rPr>
      </w:pPr>
    </w:p>
    <w:p>
      <w:pPr>
        <w:rPr>
          <w:rFonts w:hint="eastAsia" w:ascii="仿宋" w:hAnsi="仿宋" w:eastAsia="仿宋" w:cs="仿宋"/>
          <w:b w:val="0"/>
          <w:bCs w:val="0"/>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zEwMmRkZWU4MDQyNTc3N2VkYThiMDQ3OWJhZjkifQ=="/>
  </w:docVars>
  <w:rsids>
    <w:rsidRoot w:val="00000000"/>
    <w:rsid w:val="017B4256"/>
    <w:rsid w:val="0A7D7D7B"/>
    <w:rsid w:val="152625F6"/>
    <w:rsid w:val="16F808EA"/>
    <w:rsid w:val="259105F6"/>
    <w:rsid w:val="41E61A6B"/>
    <w:rsid w:val="4FB8109C"/>
    <w:rsid w:val="5B373627"/>
    <w:rsid w:val="60985CBD"/>
    <w:rsid w:val="732345CD"/>
    <w:rsid w:val="764D47D1"/>
    <w:rsid w:val="7803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1097</Words>
  <Characters>1132</Characters>
  <Lines>0</Lines>
  <Paragraphs>0</Paragraphs>
  <TotalTime>3</TotalTime>
  <ScaleCrop>false</ScaleCrop>
  <LinksUpToDate>false</LinksUpToDate>
  <CharactersWithSpaces>1137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2022-07-11T06:58:00Z</dcterms:created>
  <dc:creator>lenovo</dc:creator>
  <cp:lastModifiedBy>lenovo</cp:lastModifiedBy>
  <cp:lastPrinted>2023-01-28T06:42:00Z</cp:lastPrinted>
  <dcterms:modified xsi:type="dcterms:W3CDTF">2023-02-01T01:00:48Z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43440794DE5449FFA5227C0ADD871AA7</vt:lpwstr>
  </property>
</Properties>
</file>